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006" w:type="dxa"/>
        <w:tblInd w:w="-2715" w:type="dxa"/>
        <w:tblCellMar>
          <w:top w:w="11" w:type="dxa"/>
          <w:left w:w="114" w:type="dxa"/>
          <w:right w:w="62" w:type="dxa"/>
        </w:tblCellMar>
        <w:tblLook w:val="04A0" w:firstRow="1" w:lastRow="0" w:firstColumn="1" w:lastColumn="0" w:noHBand="0" w:noVBand="1"/>
      </w:tblPr>
      <w:tblGrid>
        <w:gridCol w:w="1800"/>
        <w:gridCol w:w="8206"/>
      </w:tblGrid>
      <w:tr w:rsidR="00B33C9A" w14:paraId="19085896" w14:textId="77777777" w:rsidTr="003138A5">
        <w:trPr>
          <w:trHeight w:val="1627"/>
        </w:trPr>
        <w:tc>
          <w:tcPr>
            <w:tcW w:w="10006" w:type="dxa"/>
            <w:gridSpan w:val="2"/>
            <w:tcBorders>
              <w:top w:val="single" w:sz="12" w:space="0" w:color="auto"/>
              <w:left w:val="single" w:sz="12" w:space="0" w:color="auto"/>
              <w:bottom w:val="single" w:sz="46" w:space="0" w:color="1F487C"/>
              <w:right w:val="single" w:sz="12" w:space="0" w:color="auto"/>
            </w:tcBorders>
            <w:shd w:val="clear" w:color="auto" w:fill="auto"/>
          </w:tcPr>
          <w:p w14:paraId="130B0DC7" w14:textId="77777777" w:rsidR="00B33C9A" w:rsidRPr="00666148" w:rsidRDefault="00B33C9A" w:rsidP="005C4420">
            <w:pPr>
              <w:pBdr>
                <w:top w:val="single" w:sz="4" w:space="1" w:color="auto"/>
                <w:left w:val="single" w:sz="12" w:space="0" w:color="auto"/>
                <w:bottom w:val="single" w:sz="4" w:space="0" w:color="auto"/>
                <w:right w:val="single" w:sz="12" w:space="4" w:color="auto"/>
              </w:pBdr>
              <w:shd w:val="clear" w:color="auto" w:fill="DEEAF6" w:themeFill="accent1" w:themeFillTint="33"/>
              <w:ind w:left="-2129" w:firstLine="2174"/>
              <w:rPr>
                <w:i/>
                <w:color w:val="002060"/>
                <w:sz w:val="22"/>
                <w:szCs w:val="52"/>
                <w14:shadow w14:blurRad="50800" w14:dist="38100" w14:dir="2700000" w14:sx="100000" w14:sy="100000" w14:kx="0" w14:ky="0" w14:algn="tl">
                  <w14:srgbClr w14:val="0000FF">
                    <w14:alpha w14:val="60000"/>
                  </w14:srgbClr>
                </w14:shadow>
              </w:rPr>
            </w:pPr>
            <w:r w:rsidRPr="00666148">
              <w:rPr>
                <w:i/>
                <w:color w:val="002060"/>
                <w:sz w:val="22"/>
                <w:szCs w:val="52"/>
                <w14:shadow w14:blurRad="50800" w14:dist="38100" w14:dir="2700000" w14:sx="100000" w14:sy="100000" w14:kx="0" w14:ky="0" w14:algn="tl">
                  <w14:srgbClr w14:val="0000FF">
                    <w14:alpha w14:val="60000"/>
                  </w14:srgbClr>
                </w14:shadow>
              </w:rPr>
              <w:t>Centers for Disease Control and Prevention</w:t>
            </w:r>
          </w:p>
          <w:p w14:paraId="2A1C4178" w14:textId="77777777" w:rsidR="00B33C9A" w:rsidRPr="00666148" w:rsidRDefault="00B33C9A" w:rsidP="00B33C9A">
            <w:pPr>
              <w:pBdr>
                <w:top w:val="single" w:sz="4" w:space="1" w:color="auto"/>
                <w:left w:val="single" w:sz="12" w:space="0" w:color="auto"/>
                <w:bottom w:val="single" w:sz="4" w:space="0" w:color="auto"/>
                <w:right w:val="single" w:sz="12" w:space="4" w:color="auto"/>
              </w:pBdr>
              <w:shd w:val="clear" w:color="auto" w:fill="DEEAF6" w:themeFill="accent1" w:themeFillTint="33"/>
              <w:ind w:left="-2129" w:firstLine="2174"/>
              <w:rPr>
                <w:color w:val="7030A0"/>
              </w:rPr>
            </w:pPr>
            <w:r w:rsidRPr="00666148">
              <w:rPr>
                <w:i/>
                <w:color w:val="7030A0"/>
                <w:sz w:val="120"/>
                <w:szCs w:val="120"/>
                <w14:shadow w14:blurRad="50800" w14:dist="38100" w14:dir="2700000" w14:sx="100000" w14:sy="100000" w14:kx="0" w14:ky="0" w14:algn="tl">
                  <w14:srgbClr w14:val="0000FF">
                    <w14:alpha w14:val="60000"/>
                  </w14:srgbClr>
                </w14:shadow>
              </w:rPr>
              <w:t>NVDRS</w:t>
            </w:r>
            <w:r w:rsidRPr="00666148">
              <w:rPr>
                <w:i/>
                <w:color w:val="7030A0"/>
                <w:szCs w:val="120"/>
                <w14:shadow w14:blurRad="50800" w14:dist="38100" w14:dir="2700000" w14:sx="100000" w14:sy="100000" w14:kx="0" w14:ky="0" w14:algn="tl">
                  <w14:srgbClr w14:val="0000FF">
                    <w14:alpha w14:val="60000"/>
                  </w14:srgbClr>
                </w14:shadow>
              </w:rPr>
              <w:t xml:space="preserve"> </w:t>
            </w:r>
            <w:r w:rsidRPr="00666148">
              <w:rPr>
                <w:i/>
                <w:color w:val="002060"/>
              </w:rPr>
              <w:t>National Violent Death Reporting System</w:t>
            </w:r>
          </w:p>
        </w:tc>
      </w:tr>
      <w:tr w:rsidR="00B33C9A" w14:paraId="28DEA4C0" w14:textId="77777777" w:rsidTr="475B2710">
        <w:trPr>
          <w:trHeight w:val="386"/>
        </w:trPr>
        <w:tc>
          <w:tcPr>
            <w:tcW w:w="10006" w:type="dxa"/>
            <w:gridSpan w:val="2"/>
            <w:tcBorders>
              <w:top w:val="single" w:sz="12" w:space="0" w:color="auto"/>
              <w:left w:val="single" w:sz="12" w:space="0" w:color="auto"/>
              <w:bottom w:val="single" w:sz="46" w:space="0" w:color="1F487C"/>
              <w:right w:val="single" w:sz="12" w:space="0" w:color="auto"/>
            </w:tcBorders>
            <w:shd w:val="clear" w:color="auto" w:fill="auto"/>
            <w:vAlign w:val="center"/>
          </w:tcPr>
          <w:p w14:paraId="703B2A9C" w14:textId="77777777" w:rsidR="00B33C9A" w:rsidRPr="00666148" w:rsidRDefault="00B33C9A">
            <w:pPr>
              <w:ind w:right="50"/>
              <w:jc w:val="center"/>
              <w:rPr>
                <w:rFonts w:eastAsia="Calibri"/>
                <w:color w:val="FFFFFF"/>
                <w:sz w:val="24"/>
              </w:rPr>
            </w:pPr>
            <w:r w:rsidRPr="00666148">
              <w:t>NVDRS</w:t>
            </w:r>
            <w:r w:rsidRPr="00666148">
              <w:rPr>
                <w:i/>
              </w:rPr>
              <w:t xml:space="preserve"> </w:t>
            </w:r>
            <w:r w:rsidRPr="00666148">
              <w:t>Restricted Access Database (RAD) Proposal Submission Checklist</w:t>
            </w:r>
            <w:r w:rsidRPr="00666148">
              <w:rPr>
                <w:b w:val="0"/>
              </w:rPr>
              <w:t xml:space="preserve">  </w:t>
            </w:r>
            <w:r w:rsidRPr="00666148">
              <w:t xml:space="preserve"> </w:t>
            </w:r>
          </w:p>
        </w:tc>
      </w:tr>
      <w:tr w:rsidR="00BC1BC0" w14:paraId="74E22603" w14:textId="77777777" w:rsidTr="475B2710">
        <w:trPr>
          <w:trHeight w:val="386"/>
        </w:trPr>
        <w:tc>
          <w:tcPr>
            <w:tcW w:w="10006" w:type="dxa"/>
            <w:gridSpan w:val="2"/>
            <w:tcBorders>
              <w:top w:val="single" w:sz="12" w:space="0" w:color="auto"/>
              <w:left w:val="single" w:sz="12" w:space="0" w:color="auto"/>
              <w:bottom w:val="single" w:sz="46" w:space="0" w:color="1F487C"/>
              <w:right w:val="single" w:sz="12" w:space="0" w:color="auto"/>
            </w:tcBorders>
            <w:shd w:val="clear" w:color="auto" w:fill="7030A0"/>
            <w:vAlign w:val="center"/>
          </w:tcPr>
          <w:p w14:paraId="006319D1" w14:textId="7333A262" w:rsidR="00BC1BC0" w:rsidRPr="00666148" w:rsidRDefault="003E13D8">
            <w:pPr>
              <w:ind w:right="50"/>
              <w:jc w:val="center"/>
            </w:pPr>
            <w:r w:rsidRPr="00977C5C">
              <w:rPr>
                <w:rFonts w:eastAsia="Calibri"/>
                <w:color w:val="FFFFFF" w:themeColor="background1"/>
                <w:sz w:val="24"/>
              </w:rPr>
              <w:t xml:space="preserve">Application </w:t>
            </w:r>
            <w:r w:rsidR="00973381">
              <w:rPr>
                <w:rFonts w:eastAsia="Calibri"/>
                <w:color w:val="FFFFFF" w:themeColor="background1"/>
                <w:sz w:val="24"/>
              </w:rPr>
              <w:t xml:space="preserve">and Analytic </w:t>
            </w:r>
            <w:r w:rsidR="00912C93" w:rsidRPr="00666148">
              <w:rPr>
                <w:rFonts w:eastAsia="Calibri"/>
                <w:color w:val="FFFFFF"/>
                <w:sz w:val="24"/>
              </w:rPr>
              <w:t>Considerations</w:t>
            </w:r>
            <w:r w:rsidR="00912C93" w:rsidRPr="00666148">
              <w:rPr>
                <w:rFonts w:eastAsia="Calibri"/>
                <w:sz w:val="24"/>
              </w:rPr>
              <w:t xml:space="preserve"> </w:t>
            </w:r>
          </w:p>
        </w:tc>
      </w:tr>
      <w:tr w:rsidR="006412A7" w14:paraId="03547E43" w14:textId="77777777" w:rsidTr="475B2710">
        <w:trPr>
          <w:trHeight w:val="491"/>
        </w:trPr>
        <w:tc>
          <w:tcPr>
            <w:tcW w:w="10006" w:type="dxa"/>
            <w:gridSpan w:val="2"/>
            <w:tcBorders>
              <w:top w:val="single" w:sz="12" w:space="0" w:color="auto"/>
              <w:left w:val="single" w:sz="12" w:space="0" w:color="auto"/>
              <w:bottom w:val="single" w:sz="4" w:space="0" w:color="000000" w:themeColor="text1"/>
              <w:right w:val="single" w:sz="12" w:space="0" w:color="auto"/>
            </w:tcBorders>
            <w:vAlign w:val="center"/>
          </w:tcPr>
          <w:p w14:paraId="1A1F4702" w14:textId="77777777" w:rsidR="000F6723" w:rsidRDefault="0019561D" w:rsidP="006412A7">
            <w:pPr>
              <w:jc w:val="center"/>
              <w:rPr>
                <w:sz w:val="24"/>
                <w:szCs w:val="24"/>
              </w:rPr>
            </w:pPr>
            <w:r w:rsidRPr="00174FFF">
              <w:rPr>
                <w:sz w:val="24"/>
                <w:szCs w:val="24"/>
              </w:rPr>
              <w:t xml:space="preserve">The Principal Investigator should </w:t>
            </w:r>
            <w:r w:rsidR="006412A7" w:rsidRPr="00174FFF">
              <w:rPr>
                <w:sz w:val="24"/>
                <w:szCs w:val="24"/>
              </w:rPr>
              <w:t xml:space="preserve">initial each box, </w:t>
            </w:r>
          </w:p>
          <w:p w14:paraId="22D93F0C" w14:textId="07C48B43" w:rsidR="006412A7" w:rsidRPr="00174FFF" w:rsidRDefault="006412A7" w:rsidP="006412A7">
            <w:pPr>
              <w:jc w:val="center"/>
              <w:rPr>
                <w:sz w:val="24"/>
                <w:szCs w:val="24"/>
              </w:rPr>
            </w:pPr>
            <w:r w:rsidRPr="00174FFF">
              <w:rPr>
                <w:sz w:val="24"/>
                <w:szCs w:val="24"/>
              </w:rPr>
              <w:t>indicating that you have read and understood each item.</w:t>
            </w:r>
          </w:p>
        </w:tc>
      </w:tr>
      <w:tr w:rsidR="00204DFD" w14:paraId="02FCB4FC" w14:textId="77777777" w:rsidTr="003138A5">
        <w:trPr>
          <w:trHeight w:val="423"/>
        </w:trPr>
        <w:tc>
          <w:tcPr>
            <w:tcW w:w="1800" w:type="dxa"/>
            <w:tcBorders>
              <w:top w:val="single" w:sz="4" w:space="0" w:color="000000" w:themeColor="text1"/>
              <w:left w:val="single" w:sz="12" w:space="0" w:color="auto"/>
              <w:bottom w:val="single" w:sz="4" w:space="0" w:color="000000" w:themeColor="text1"/>
              <w:right w:val="single" w:sz="4" w:space="0" w:color="000000" w:themeColor="text1"/>
            </w:tcBorders>
            <w:shd w:val="clear" w:color="auto" w:fill="DEEAF6" w:themeFill="accent1" w:themeFillTint="33"/>
            <w:vAlign w:val="center"/>
          </w:tcPr>
          <w:p w14:paraId="16EAE6E6" w14:textId="38E4B37D" w:rsidR="00204DFD" w:rsidRPr="00174FFF" w:rsidRDefault="00CF2804" w:rsidP="006412A7">
            <w:pPr>
              <w:jc w:val="center"/>
              <w:rPr>
                <w:sz w:val="24"/>
                <w:szCs w:val="24"/>
              </w:rPr>
            </w:pPr>
            <w:r>
              <w:rPr>
                <w:sz w:val="24"/>
                <w:szCs w:val="24"/>
              </w:rPr>
              <w:t>Initials</w:t>
            </w:r>
          </w:p>
        </w:tc>
        <w:tc>
          <w:tcPr>
            <w:tcW w:w="8206"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DEEAF6" w:themeFill="accent1" w:themeFillTint="33"/>
            <w:vAlign w:val="center"/>
          </w:tcPr>
          <w:p w14:paraId="4CA8CE3C" w14:textId="457FB7C1" w:rsidR="00204DFD" w:rsidRPr="003138A5" w:rsidRDefault="00CF2804" w:rsidP="003138A5">
            <w:pPr>
              <w:tabs>
                <w:tab w:val="center" w:pos="7119"/>
              </w:tabs>
              <w:spacing w:after="4"/>
              <w:jc w:val="center"/>
              <w:rPr>
                <w:bCs/>
                <w:sz w:val="24"/>
                <w:szCs w:val="24"/>
              </w:rPr>
            </w:pPr>
            <w:r w:rsidRPr="003138A5">
              <w:rPr>
                <w:bCs/>
                <w:sz w:val="24"/>
                <w:szCs w:val="24"/>
              </w:rPr>
              <w:t>Checklist Items</w:t>
            </w:r>
          </w:p>
        </w:tc>
      </w:tr>
      <w:tr w:rsidR="006412A7" w14:paraId="09871B00" w14:textId="77777777" w:rsidTr="475B2710">
        <w:trPr>
          <w:trHeight w:val="1143"/>
        </w:trPr>
        <w:tc>
          <w:tcPr>
            <w:tcW w:w="1800"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14:paraId="5B7C8E14" w14:textId="47383F51" w:rsidR="006412A7" w:rsidRPr="00174FFF" w:rsidRDefault="006412A7" w:rsidP="006412A7">
            <w:pPr>
              <w:jc w:val="center"/>
              <w:rPr>
                <w:sz w:val="24"/>
                <w:szCs w:val="24"/>
              </w:rPr>
            </w:pPr>
          </w:p>
        </w:tc>
        <w:tc>
          <w:tcPr>
            <w:tcW w:w="8206" w:type="dxa"/>
            <w:tcBorders>
              <w:top w:val="single" w:sz="4" w:space="0" w:color="000000" w:themeColor="text1"/>
              <w:left w:val="single" w:sz="4" w:space="0" w:color="000000" w:themeColor="text1"/>
              <w:bottom w:val="single" w:sz="4" w:space="0" w:color="000000" w:themeColor="text1"/>
              <w:right w:val="single" w:sz="12" w:space="0" w:color="auto"/>
            </w:tcBorders>
            <w:vAlign w:val="center"/>
          </w:tcPr>
          <w:p w14:paraId="780DEBC0" w14:textId="33FB26E6" w:rsidR="003E52EC" w:rsidRDefault="006412A7" w:rsidP="006412A7">
            <w:pPr>
              <w:tabs>
                <w:tab w:val="center" w:pos="7119"/>
              </w:tabs>
              <w:spacing w:after="4"/>
              <w:rPr>
                <w:b w:val="0"/>
                <w:sz w:val="24"/>
                <w:szCs w:val="24"/>
              </w:rPr>
            </w:pPr>
            <w:r w:rsidRPr="0E226B56">
              <w:rPr>
                <w:b w:val="0"/>
                <w:sz w:val="24"/>
                <w:szCs w:val="24"/>
              </w:rPr>
              <w:t xml:space="preserve">The Principal Investigator acknowledges that he or she meets the eligibility requirements to apply for NVDRS Restricted Access Database as described </w:t>
            </w:r>
            <w:hyperlink r:id="rId10" w:history="1">
              <w:r w:rsidRPr="000E60AE">
                <w:rPr>
                  <w:rStyle w:val="Hyperlink"/>
                  <w:b w:val="0"/>
                  <w:sz w:val="24"/>
                  <w:szCs w:val="24"/>
                </w:rPr>
                <w:t>here</w:t>
              </w:r>
            </w:hyperlink>
            <w:r w:rsidRPr="0E226B56">
              <w:rPr>
                <w:b w:val="0"/>
                <w:sz w:val="24"/>
                <w:szCs w:val="24"/>
              </w:rPr>
              <w:t xml:space="preserve"> in the NVDRS Guidelines for RAD proposals. </w:t>
            </w:r>
          </w:p>
          <w:p w14:paraId="546388E2" w14:textId="311E7226" w:rsidR="00E54C00" w:rsidRPr="00174FFF" w:rsidRDefault="00E54C00" w:rsidP="006412A7">
            <w:pPr>
              <w:tabs>
                <w:tab w:val="center" w:pos="7119"/>
              </w:tabs>
              <w:spacing w:after="4"/>
              <w:rPr>
                <w:b w:val="0"/>
                <w:sz w:val="24"/>
                <w:szCs w:val="24"/>
              </w:rPr>
            </w:pPr>
          </w:p>
        </w:tc>
      </w:tr>
      <w:tr w:rsidR="006412A7" w14:paraId="5CBB75EC" w14:textId="77777777" w:rsidTr="475B2710">
        <w:trPr>
          <w:trHeight w:val="1287"/>
        </w:trPr>
        <w:tc>
          <w:tcPr>
            <w:tcW w:w="1800" w:type="dxa"/>
            <w:tcBorders>
              <w:top w:val="single" w:sz="4" w:space="0" w:color="000000" w:themeColor="text1"/>
              <w:left w:val="single" w:sz="12" w:space="0" w:color="auto"/>
              <w:bottom w:val="single" w:sz="4" w:space="0" w:color="000000" w:themeColor="text1"/>
              <w:right w:val="single" w:sz="4" w:space="0" w:color="000000" w:themeColor="text1"/>
            </w:tcBorders>
            <w:shd w:val="clear" w:color="auto" w:fill="E7E6E6" w:themeFill="background2"/>
            <w:vAlign w:val="center"/>
          </w:tcPr>
          <w:p w14:paraId="1F237AC3" w14:textId="53E1E37C" w:rsidR="006412A7" w:rsidRPr="00174FFF" w:rsidRDefault="006412A7" w:rsidP="006412A7">
            <w:pPr>
              <w:jc w:val="center"/>
              <w:rPr>
                <w:sz w:val="24"/>
                <w:szCs w:val="24"/>
              </w:rPr>
            </w:pPr>
          </w:p>
        </w:tc>
        <w:tc>
          <w:tcPr>
            <w:tcW w:w="8206"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E7E6E6" w:themeFill="background2"/>
            <w:vAlign w:val="center"/>
          </w:tcPr>
          <w:p w14:paraId="09F1A303" w14:textId="20E3C406" w:rsidR="003E52EC" w:rsidRDefault="006412A7" w:rsidP="00174FFF">
            <w:pPr>
              <w:ind w:left="2"/>
              <w:rPr>
                <w:b w:val="0"/>
                <w:color w:val="auto"/>
                <w:sz w:val="24"/>
                <w:szCs w:val="24"/>
              </w:rPr>
            </w:pPr>
            <w:r w:rsidRPr="147BF21F">
              <w:rPr>
                <w:b w:val="0"/>
                <w:color w:val="auto"/>
                <w:sz w:val="24"/>
                <w:szCs w:val="24"/>
              </w:rPr>
              <w:t xml:space="preserve">The NVDRS </w:t>
            </w:r>
            <w:r w:rsidR="5C787140" w:rsidRPr="147BF21F">
              <w:rPr>
                <w:b w:val="0"/>
                <w:color w:val="auto"/>
                <w:sz w:val="24"/>
                <w:szCs w:val="24"/>
              </w:rPr>
              <w:t xml:space="preserve">User </w:t>
            </w:r>
            <w:r w:rsidRPr="147BF21F">
              <w:rPr>
                <w:b w:val="0"/>
                <w:color w:val="auto"/>
                <w:sz w:val="24"/>
                <w:szCs w:val="24"/>
              </w:rPr>
              <w:t>Guide</w:t>
            </w:r>
            <w:r w:rsidR="7CAC8141" w:rsidRPr="147BF21F">
              <w:rPr>
                <w:b w:val="0"/>
                <w:color w:val="auto"/>
                <w:sz w:val="24"/>
                <w:szCs w:val="24"/>
              </w:rPr>
              <w:t>lines</w:t>
            </w:r>
            <w:r w:rsidRPr="147BF21F">
              <w:rPr>
                <w:b w:val="0"/>
                <w:color w:val="auto"/>
                <w:sz w:val="24"/>
                <w:szCs w:val="24"/>
              </w:rPr>
              <w:t xml:space="preserve">, NVDRS Data Dictionary, and NVDRS Coding Manual have all been </w:t>
            </w:r>
            <w:r w:rsidRPr="147BF21F">
              <w:rPr>
                <w:color w:val="auto"/>
                <w:sz w:val="24"/>
                <w:szCs w:val="24"/>
              </w:rPr>
              <w:t>carefully</w:t>
            </w:r>
            <w:r w:rsidRPr="147BF21F">
              <w:rPr>
                <w:b w:val="0"/>
                <w:color w:val="auto"/>
                <w:sz w:val="24"/>
                <w:szCs w:val="24"/>
              </w:rPr>
              <w:t xml:space="preserve"> reviewed</w:t>
            </w:r>
            <w:r w:rsidR="00E9021D" w:rsidRPr="147BF21F">
              <w:rPr>
                <w:b w:val="0"/>
                <w:color w:val="auto"/>
                <w:sz w:val="24"/>
                <w:szCs w:val="24"/>
              </w:rPr>
              <w:t>.</w:t>
            </w:r>
            <w:r w:rsidR="00B845AC" w:rsidRPr="147BF21F">
              <w:rPr>
                <w:b w:val="0"/>
                <w:color w:val="auto"/>
                <w:sz w:val="24"/>
                <w:szCs w:val="24"/>
              </w:rPr>
              <w:t xml:space="preserve"> </w:t>
            </w:r>
            <w:r w:rsidR="6358850A" w:rsidRPr="147BF21F">
              <w:rPr>
                <w:b w:val="0"/>
                <w:color w:val="auto"/>
                <w:sz w:val="24"/>
                <w:szCs w:val="24"/>
              </w:rPr>
              <w:t>Please</w:t>
            </w:r>
            <w:r w:rsidR="00B845AC" w:rsidRPr="147BF21F">
              <w:rPr>
                <w:b w:val="0"/>
                <w:color w:val="auto"/>
                <w:sz w:val="24"/>
                <w:szCs w:val="24"/>
              </w:rPr>
              <w:t xml:space="preserve"> note that different states have participated in NVDRS over time, </w:t>
            </w:r>
            <w:r w:rsidR="00E9021D" w:rsidRPr="147BF21F">
              <w:rPr>
                <w:b w:val="0"/>
                <w:color w:val="auto"/>
                <w:sz w:val="24"/>
                <w:szCs w:val="24"/>
              </w:rPr>
              <w:t xml:space="preserve">different </w:t>
            </w:r>
            <w:r w:rsidR="00B845AC" w:rsidRPr="147BF21F">
              <w:rPr>
                <w:b w:val="0"/>
                <w:color w:val="auto"/>
                <w:sz w:val="24"/>
                <w:szCs w:val="24"/>
              </w:rPr>
              <w:t>variables have been added over time, and certain variables are known to have</w:t>
            </w:r>
            <w:r w:rsidRPr="147BF21F">
              <w:rPr>
                <w:b w:val="0"/>
                <w:color w:val="auto"/>
                <w:sz w:val="24"/>
                <w:szCs w:val="24"/>
              </w:rPr>
              <w:t xml:space="preserve"> high levels of missing data. </w:t>
            </w:r>
          </w:p>
          <w:p w14:paraId="2F294150" w14:textId="491A1DAF" w:rsidR="00E54C00" w:rsidRPr="00174FFF" w:rsidRDefault="00E54C00" w:rsidP="00174FFF">
            <w:pPr>
              <w:ind w:left="2"/>
              <w:rPr>
                <w:b w:val="0"/>
                <w:color w:val="auto"/>
                <w:sz w:val="24"/>
                <w:szCs w:val="24"/>
              </w:rPr>
            </w:pPr>
          </w:p>
        </w:tc>
      </w:tr>
      <w:tr w:rsidR="004F3353" w14:paraId="4CD46C96" w14:textId="77777777" w:rsidTr="475B2710">
        <w:trPr>
          <w:trHeight w:val="2088"/>
        </w:trPr>
        <w:tc>
          <w:tcPr>
            <w:tcW w:w="1800"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14:paraId="1EA7D31A" w14:textId="1BE0FCD1" w:rsidR="004F3353" w:rsidRPr="00174FFF" w:rsidRDefault="004F3353" w:rsidP="00E4144A">
            <w:pPr>
              <w:jc w:val="center"/>
              <w:rPr>
                <w:sz w:val="24"/>
                <w:szCs w:val="24"/>
              </w:rPr>
            </w:pPr>
          </w:p>
        </w:tc>
        <w:tc>
          <w:tcPr>
            <w:tcW w:w="8206" w:type="dxa"/>
            <w:tcBorders>
              <w:top w:val="single" w:sz="4" w:space="0" w:color="000000" w:themeColor="text1"/>
              <w:left w:val="single" w:sz="4" w:space="0" w:color="000000" w:themeColor="text1"/>
              <w:bottom w:val="single" w:sz="4" w:space="0" w:color="000000" w:themeColor="text1"/>
              <w:right w:val="single" w:sz="12" w:space="0" w:color="auto"/>
            </w:tcBorders>
            <w:vAlign w:val="center"/>
          </w:tcPr>
          <w:p w14:paraId="324D047B" w14:textId="2C7A7F01" w:rsidR="003E52EC" w:rsidRDefault="004F3353" w:rsidP="147BF21F">
            <w:pPr>
              <w:ind w:left="1"/>
              <w:rPr>
                <w:b w:val="0"/>
                <w:sz w:val="24"/>
                <w:szCs w:val="24"/>
              </w:rPr>
            </w:pPr>
            <w:r w:rsidRPr="147BF21F">
              <w:rPr>
                <w:b w:val="0"/>
                <w:color w:val="000000" w:themeColor="text1"/>
                <w:sz w:val="24"/>
                <w:szCs w:val="24"/>
              </w:rPr>
              <w:t xml:space="preserve">Any intention to link NVDRS RAD with other data should be specified in the initial request or follow-up request for the RAD and approved by the CDC. </w:t>
            </w:r>
            <w:r w:rsidR="7832BABC" w:rsidRPr="147BF21F">
              <w:rPr>
                <w:b w:val="0"/>
                <w:color w:val="000000" w:themeColor="text1"/>
                <w:sz w:val="24"/>
                <w:szCs w:val="24"/>
              </w:rPr>
              <w:t xml:space="preserve">CDC requires institutional review board (IRB) approval only when the proposal includes linking of NVDRS data with other data that contains personally identifiable information. </w:t>
            </w:r>
            <w:r w:rsidRPr="147BF21F">
              <w:rPr>
                <w:b w:val="0"/>
                <w:sz w:val="24"/>
                <w:szCs w:val="24"/>
              </w:rPr>
              <w:t xml:space="preserve">If you have any questions about linking of NVDRS data with other data sources, please </w:t>
            </w:r>
            <w:r w:rsidRPr="00371A0C">
              <w:rPr>
                <w:b w:val="0"/>
                <w:sz w:val="24"/>
                <w:szCs w:val="24"/>
              </w:rPr>
              <w:t xml:space="preserve">contact the </w:t>
            </w:r>
            <w:r w:rsidR="00371A0C" w:rsidRPr="00371A0C">
              <w:rPr>
                <w:b w:val="0"/>
                <w:sz w:val="24"/>
                <w:szCs w:val="24"/>
              </w:rPr>
              <w:t>C</w:t>
            </w:r>
            <w:r w:rsidR="00371A0C" w:rsidRPr="003138A5">
              <w:rPr>
                <w:b w:val="0"/>
                <w:bCs/>
                <w:sz w:val="24"/>
                <w:szCs w:val="24"/>
              </w:rPr>
              <w:t>DC N</w:t>
            </w:r>
            <w:r w:rsidR="00371A0C">
              <w:rPr>
                <w:b w:val="0"/>
                <w:bCs/>
                <w:sz w:val="24"/>
                <w:szCs w:val="24"/>
              </w:rPr>
              <w:t>VDRS RAD</w:t>
            </w:r>
            <w:r w:rsidR="001F62D7">
              <w:rPr>
                <w:b w:val="0"/>
                <w:bCs/>
                <w:sz w:val="24"/>
                <w:szCs w:val="24"/>
              </w:rPr>
              <w:t xml:space="preserve"> staff </w:t>
            </w:r>
            <w:hyperlink r:id="rId11" w:history="1"/>
            <w:r w:rsidRPr="00371A0C">
              <w:rPr>
                <w:sz w:val="24"/>
                <w:szCs w:val="24"/>
              </w:rPr>
              <w:t>prior</w:t>
            </w:r>
            <w:r w:rsidRPr="147BF21F">
              <w:rPr>
                <w:b w:val="0"/>
                <w:sz w:val="24"/>
                <w:szCs w:val="24"/>
              </w:rPr>
              <w:t xml:space="preserve"> to submitting your RAD request.  </w:t>
            </w:r>
          </w:p>
          <w:p w14:paraId="275A434B" w14:textId="160754CD" w:rsidR="00E54C00" w:rsidRPr="00174FFF" w:rsidRDefault="00E54C00" w:rsidP="00174FFF">
            <w:pPr>
              <w:ind w:left="1"/>
              <w:rPr>
                <w:b w:val="0"/>
                <w:sz w:val="24"/>
                <w:szCs w:val="24"/>
              </w:rPr>
            </w:pPr>
          </w:p>
        </w:tc>
      </w:tr>
      <w:tr w:rsidR="00461D01" w14:paraId="40B558FE" w14:textId="77777777" w:rsidTr="475B2710">
        <w:trPr>
          <w:trHeight w:val="1242"/>
        </w:trPr>
        <w:tc>
          <w:tcPr>
            <w:tcW w:w="1800" w:type="dxa"/>
            <w:tcBorders>
              <w:top w:val="single" w:sz="4" w:space="0" w:color="000000" w:themeColor="text1"/>
              <w:left w:val="single" w:sz="12" w:space="0" w:color="auto"/>
              <w:bottom w:val="single" w:sz="4" w:space="0" w:color="000000" w:themeColor="text1"/>
              <w:right w:val="single" w:sz="4" w:space="0" w:color="000000" w:themeColor="text1"/>
            </w:tcBorders>
            <w:shd w:val="clear" w:color="auto" w:fill="E7E6E6" w:themeFill="background2"/>
            <w:vAlign w:val="center"/>
          </w:tcPr>
          <w:p w14:paraId="4FCC97F7" w14:textId="77777777" w:rsidR="00461D01" w:rsidRPr="00174FFF" w:rsidDel="00D3216D" w:rsidRDefault="00461D01" w:rsidP="00E4144A">
            <w:pPr>
              <w:jc w:val="center"/>
              <w:rPr>
                <w:sz w:val="24"/>
                <w:szCs w:val="24"/>
              </w:rPr>
            </w:pPr>
          </w:p>
        </w:tc>
        <w:tc>
          <w:tcPr>
            <w:tcW w:w="8206"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E7E6E6" w:themeFill="background2"/>
            <w:vAlign w:val="center"/>
          </w:tcPr>
          <w:p w14:paraId="6E0DAFB5" w14:textId="590E7C68" w:rsidR="003E52EC" w:rsidRDefault="00461D01" w:rsidP="20EA7E8A">
            <w:pPr>
              <w:pStyle w:val="BodyTextIndent2"/>
              <w:widowControl w:val="0"/>
              <w:autoSpaceDE w:val="0"/>
              <w:autoSpaceDN w:val="0"/>
              <w:adjustRightInd w:val="0"/>
              <w:spacing w:after="0" w:line="240" w:lineRule="auto"/>
              <w:ind w:left="0"/>
            </w:pPr>
            <w:r w:rsidRPr="20EA7E8A">
              <w:t>The Principal Investigator agrees that NVDRS data will be used solely for statistical analyses related to the approved project. No attempt will be made to identify specific individuals, households, or institutions. Data lists at the individual level will not be published or distributed.</w:t>
            </w:r>
            <w:r w:rsidR="60A167A2" w:rsidRPr="20EA7E8A">
              <w:t xml:space="preserve"> Principal Investigator(s)</w:t>
            </w:r>
            <w:r w:rsidR="2E3189C9" w:rsidRPr="20EA7E8A">
              <w:t xml:space="preserve"> and collaborators who fail </w:t>
            </w:r>
            <w:r w:rsidR="60A167A2" w:rsidRPr="20EA7E8A">
              <w:t>to comply with data use guidelines may be restricted from using NVDRS data in the future</w:t>
            </w:r>
            <w:r w:rsidR="41285A0E" w:rsidRPr="20EA7E8A">
              <w:t xml:space="preserve"> .</w:t>
            </w:r>
          </w:p>
          <w:p w14:paraId="76EEC2D5" w14:textId="4FB1AB83" w:rsidR="00E54C00" w:rsidRPr="00174FFF" w:rsidRDefault="00E54C00" w:rsidP="20EA7E8A">
            <w:pPr>
              <w:pStyle w:val="BodyTextIndent2"/>
              <w:widowControl w:val="0"/>
              <w:autoSpaceDE w:val="0"/>
              <w:autoSpaceDN w:val="0"/>
              <w:adjustRightInd w:val="0"/>
              <w:spacing w:after="0" w:line="240" w:lineRule="auto"/>
              <w:ind w:left="0"/>
            </w:pPr>
          </w:p>
        </w:tc>
      </w:tr>
      <w:tr w:rsidR="00E54C00" w14:paraId="43B3E74F" w14:textId="77777777" w:rsidTr="475B2710">
        <w:trPr>
          <w:trHeight w:val="2277"/>
        </w:trPr>
        <w:tc>
          <w:tcPr>
            <w:tcW w:w="1800"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14:paraId="546EE9DA" w14:textId="77777777" w:rsidR="00E54C00" w:rsidRPr="00174FFF" w:rsidRDefault="00E54C00" w:rsidP="00E4144A">
            <w:pPr>
              <w:jc w:val="center"/>
              <w:rPr>
                <w:sz w:val="24"/>
                <w:szCs w:val="24"/>
              </w:rPr>
            </w:pPr>
          </w:p>
        </w:tc>
        <w:tc>
          <w:tcPr>
            <w:tcW w:w="8206" w:type="dxa"/>
            <w:tcBorders>
              <w:top w:val="single" w:sz="4" w:space="0" w:color="000000" w:themeColor="text1"/>
              <w:left w:val="single" w:sz="4" w:space="0" w:color="000000" w:themeColor="text1"/>
              <w:bottom w:val="single" w:sz="4" w:space="0" w:color="000000" w:themeColor="text1"/>
              <w:right w:val="single" w:sz="12" w:space="0" w:color="auto"/>
            </w:tcBorders>
          </w:tcPr>
          <w:p w14:paraId="3E0E3FD7" w14:textId="1BC7849D" w:rsidR="00E54C00" w:rsidRPr="00174FFF" w:rsidRDefault="00E54C00" w:rsidP="20EA7E8A">
            <w:pPr>
              <w:pStyle w:val="BodyTextIndent2"/>
              <w:widowControl w:val="0"/>
              <w:autoSpaceDE w:val="0"/>
              <w:autoSpaceDN w:val="0"/>
              <w:adjustRightInd w:val="0"/>
              <w:spacing w:after="0" w:line="240" w:lineRule="auto"/>
              <w:ind w:left="0"/>
            </w:pPr>
            <w:r w:rsidRPr="20EA7E8A">
              <w:t xml:space="preserve">If narratives will be used to illustrate case examples in presentations and papers, the Principal Investigator has reviewed the guidance for ensuring anonymity when presenting narratives (i.e., remove all text that may indirectly identify individuals, use composite or fictional narratives) outlined in the NVDRS </w:t>
            </w:r>
            <w:r w:rsidR="17699DA6" w:rsidRPr="20EA7E8A">
              <w:t xml:space="preserve">User </w:t>
            </w:r>
            <w:r w:rsidR="6E7037D2" w:rsidRPr="20EA7E8A">
              <w:t>Guidelines</w:t>
            </w:r>
            <w:r w:rsidR="00827B30" w:rsidRPr="20EA7E8A">
              <w:t>.</w:t>
            </w:r>
          </w:p>
        </w:tc>
      </w:tr>
      <w:tr w:rsidR="001705D8" w14:paraId="06C462E3" w14:textId="77777777" w:rsidTr="475B2710">
        <w:trPr>
          <w:trHeight w:val="2277"/>
        </w:trPr>
        <w:tc>
          <w:tcPr>
            <w:tcW w:w="1800" w:type="dxa"/>
            <w:tcBorders>
              <w:top w:val="single" w:sz="4" w:space="0" w:color="000000" w:themeColor="text1"/>
              <w:left w:val="single" w:sz="12" w:space="0" w:color="auto"/>
              <w:bottom w:val="single" w:sz="4" w:space="0" w:color="000000" w:themeColor="text1"/>
              <w:right w:val="single" w:sz="4" w:space="0" w:color="000000" w:themeColor="text1"/>
            </w:tcBorders>
            <w:shd w:val="clear" w:color="auto" w:fill="E7E6E6" w:themeFill="background2"/>
            <w:vAlign w:val="center"/>
          </w:tcPr>
          <w:p w14:paraId="61D2A54E" w14:textId="214F9F91" w:rsidR="001705D8" w:rsidRPr="00174FFF" w:rsidRDefault="001705D8" w:rsidP="00E4144A">
            <w:pPr>
              <w:jc w:val="center"/>
              <w:rPr>
                <w:sz w:val="24"/>
                <w:szCs w:val="24"/>
              </w:rPr>
            </w:pPr>
          </w:p>
        </w:tc>
        <w:tc>
          <w:tcPr>
            <w:tcW w:w="8206"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E7E6E6" w:themeFill="background2"/>
            <w:vAlign w:val="center"/>
          </w:tcPr>
          <w:p w14:paraId="691C7CBF" w14:textId="77777777" w:rsidR="001705D8" w:rsidRPr="00174FFF" w:rsidRDefault="001705D8" w:rsidP="20EA7E8A">
            <w:pPr>
              <w:pStyle w:val="BodyTextIndent2"/>
              <w:widowControl w:val="0"/>
              <w:autoSpaceDE w:val="0"/>
              <w:autoSpaceDN w:val="0"/>
              <w:adjustRightInd w:val="0"/>
              <w:spacing w:after="0" w:line="240" w:lineRule="auto"/>
              <w:ind w:left="0"/>
            </w:pPr>
            <w:r w:rsidRPr="20EA7E8A">
              <w:t>The Principal Investigator agrees to avoid the inadvertent disclosure of potentially identifying information by using the following guidelines for the release of statistics derived from the requested dataset.  For any data release format:</w:t>
            </w:r>
          </w:p>
          <w:p w14:paraId="04EA9C4F" w14:textId="77777777" w:rsidR="001705D8" w:rsidRPr="00174FFF" w:rsidRDefault="001705D8" w:rsidP="20EA7E8A">
            <w:pPr>
              <w:pStyle w:val="BodyTextIndent2"/>
              <w:widowControl w:val="0"/>
              <w:autoSpaceDE w:val="0"/>
              <w:autoSpaceDN w:val="0"/>
              <w:adjustRightInd w:val="0"/>
              <w:spacing w:after="0" w:line="240" w:lineRule="auto"/>
              <w:ind w:left="0"/>
            </w:pPr>
          </w:p>
          <w:p w14:paraId="377B2BE9" w14:textId="77777777" w:rsidR="001705D8" w:rsidRPr="00174FFF" w:rsidRDefault="001705D8" w:rsidP="20EA7E8A">
            <w:pPr>
              <w:tabs>
                <w:tab w:val="left" w:pos="360"/>
                <w:tab w:val="left" w:pos="540"/>
                <w:tab w:val="left" w:pos="601"/>
              </w:tabs>
              <w:ind w:left="1051" w:hanging="691"/>
              <w:rPr>
                <w:b w:val="0"/>
                <w:sz w:val="24"/>
                <w:szCs w:val="24"/>
              </w:rPr>
            </w:pPr>
            <w:r w:rsidRPr="00174FFF">
              <w:rPr>
                <w:b w:val="0"/>
                <w:sz w:val="24"/>
                <w:szCs w:val="24"/>
              </w:rPr>
              <w:tab/>
            </w:r>
            <w:r w:rsidRPr="00174FFF">
              <w:rPr>
                <w:b w:val="0"/>
                <w:sz w:val="24"/>
                <w:szCs w:val="24"/>
              </w:rPr>
              <w:tab/>
            </w:r>
            <w:r w:rsidRPr="20EA7E8A">
              <w:rPr>
                <w:b w:val="0"/>
                <w:sz w:val="24"/>
                <w:szCs w:val="24"/>
              </w:rPr>
              <w:t xml:space="preserve"> i.</w:t>
            </w:r>
            <w:r w:rsidRPr="00174FFF">
              <w:rPr>
                <w:b w:val="0"/>
                <w:sz w:val="24"/>
                <w:szCs w:val="24"/>
              </w:rPr>
              <w:tab/>
            </w:r>
            <w:bookmarkStart w:id="0" w:name="OLE_LINK5"/>
            <w:bookmarkStart w:id="1" w:name="OLE_LINK6"/>
            <w:r w:rsidRPr="20EA7E8A">
              <w:rPr>
                <w:b w:val="0"/>
                <w:sz w:val="24"/>
                <w:szCs w:val="24"/>
              </w:rPr>
              <w:t>Annual counts and rates must be suppressed for cities or counties of fewer than 100,000 people.</w:t>
            </w:r>
            <w:bookmarkEnd w:id="0"/>
            <w:bookmarkEnd w:id="1"/>
          </w:p>
          <w:p w14:paraId="0B505FBE" w14:textId="11BCA2D8" w:rsidR="001705D8" w:rsidRPr="00174FFF" w:rsidRDefault="001705D8" w:rsidP="20EA7E8A">
            <w:pPr>
              <w:tabs>
                <w:tab w:val="left" w:pos="360"/>
                <w:tab w:val="left" w:pos="540"/>
                <w:tab w:val="left" w:pos="1080"/>
              </w:tabs>
              <w:ind w:left="1051" w:hanging="691"/>
              <w:rPr>
                <w:b w:val="0"/>
                <w:sz w:val="24"/>
                <w:szCs w:val="24"/>
              </w:rPr>
            </w:pPr>
            <w:r w:rsidRPr="00174FFF">
              <w:rPr>
                <w:b w:val="0"/>
                <w:sz w:val="24"/>
                <w:szCs w:val="24"/>
              </w:rPr>
              <w:tab/>
            </w:r>
            <w:r w:rsidRPr="20EA7E8A">
              <w:rPr>
                <w:b w:val="0"/>
                <w:sz w:val="24"/>
                <w:szCs w:val="24"/>
              </w:rPr>
              <w:t>ii.</w:t>
            </w:r>
            <w:r w:rsidRPr="00174FFF">
              <w:rPr>
                <w:b w:val="0"/>
                <w:sz w:val="24"/>
                <w:szCs w:val="24"/>
              </w:rPr>
              <w:tab/>
            </w:r>
            <w:r w:rsidRPr="20EA7E8A">
              <w:rPr>
                <w:b w:val="0"/>
                <w:sz w:val="24"/>
                <w:szCs w:val="24"/>
              </w:rPr>
              <w:t xml:space="preserve">Cells showing or derived from fewer than </w:t>
            </w:r>
            <w:r w:rsidR="002B4B8B" w:rsidRPr="20EA7E8A">
              <w:rPr>
                <w:b w:val="0"/>
                <w:sz w:val="24"/>
                <w:szCs w:val="24"/>
              </w:rPr>
              <w:t>10</w:t>
            </w:r>
            <w:r w:rsidRPr="20EA7E8A">
              <w:rPr>
                <w:b w:val="0"/>
                <w:sz w:val="24"/>
                <w:szCs w:val="24"/>
              </w:rPr>
              <w:t xml:space="preserve"> deaths must be suppressed, but “zero” cells may be shown.  Cell “suppression” will take one of two approaches: 1) combining row or column categories so as to eliminate the small cells, or 2) suppressing the small cell, another cell in the same row, another cell in the same column, and a fourth cell at the intersection of the row and column containing the second and third suppressed cells.  Suppression of the second and third additional cells is necessary to prevent derivation of the small cell by subtraction from the row or column totals.  Suppression of the fourth cell is necessary to prevent derivation of the second or third cells by subtraction.  </w:t>
            </w:r>
            <w:bookmarkStart w:id="2" w:name="OLE_LINK1"/>
            <w:bookmarkStart w:id="3" w:name="OLE_LINK2"/>
            <w:r w:rsidRPr="20EA7E8A">
              <w:rPr>
                <w:b w:val="0"/>
                <w:sz w:val="24"/>
                <w:szCs w:val="24"/>
              </w:rPr>
              <w:t>Beyond these specific guidelines, it must not otherwise be possible to derive identifying information by subtraction or other calculation from a table, or combination of tables, in any release format.</w:t>
            </w:r>
          </w:p>
          <w:bookmarkEnd w:id="2"/>
          <w:bookmarkEnd w:id="3"/>
          <w:p w14:paraId="2575A430" w14:textId="77777777" w:rsidR="001705D8" w:rsidRPr="00174FFF" w:rsidRDefault="001705D8" w:rsidP="20EA7E8A">
            <w:pPr>
              <w:tabs>
                <w:tab w:val="left" w:pos="360"/>
                <w:tab w:val="left" w:pos="540"/>
                <w:tab w:val="left" w:pos="1080"/>
              </w:tabs>
              <w:ind w:left="1051" w:hanging="691"/>
              <w:rPr>
                <w:b w:val="0"/>
                <w:sz w:val="24"/>
                <w:szCs w:val="24"/>
              </w:rPr>
            </w:pPr>
            <w:r w:rsidRPr="00174FFF">
              <w:rPr>
                <w:b w:val="0"/>
                <w:sz w:val="24"/>
                <w:szCs w:val="24"/>
              </w:rPr>
              <w:tab/>
            </w:r>
            <w:r w:rsidRPr="20EA7E8A">
              <w:rPr>
                <w:b w:val="0"/>
                <w:sz w:val="24"/>
                <w:szCs w:val="24"/>
              </w:rPr>
              <w:t>iii.</w:t>
            </w:r>
            <w:r w:rsidRPr="00174FFF">
              <w:rPr>
                <w:b w:val="0"/>
                <w:sz w:val="24"/>
                <w:szCs w:val="24"/>
              </w:rPr>
              <w:tab/>
            </w:r>
            <w:r w:rsidRPr="20EA7E8A">
              <w:rPr>
                <w:b w:val="0"/>
                <w:sz w:val="24"/>
                <w:szCs w:val="24"/>
              </w:rPr>
              <w:t>Rates are not to be computed for cells containing fewer than 20 deaths (or cases).</w:t>
            </w:r>
            <w:r w:rsidRPr="20EA7E8A" w:rsidDel="00042B15">
              <w:rPr>
                <w:b w:val="0"/>
                <w:sz w:val="24"/>
                <w:szCs w:val="24"/>
              </w:rPr>
              <w:t xml:space="preserve"> </w:t>
            </w:r>
          </w:p>
          <w:p w14:paraId="7DB57C56" w14:textId="77777777" w:rsidR="003E52EC" w:rsidRDefault="001705D8" w:rsidP="20EA7E8A">
            <w:pPr>
              <w:tabs>
                <w:tab w:val="left" w:pos="360"/>
                <w:tab w:val="left" w:pos="540"/>
                <w:tab w:val="left" w:pos="1080"/>
                <w:tab w:val="left" w:pos="1440"/>
              </w:tabs>
              <w:ind w:left="1051" w:hanging="691"/>
              <w:rPr>
                <w:b w:val="0"/>
                <w:sz w:val="24"/>
                <w:szCs w:val="24"/>
              </w:rPr>
            </w:pPr>
            <w:r w:rsidRPr="00174FFF">
              <w:rPr>
                <w:b w:val="0"/>
                <w:sz w:val="24"/>
                <w:szCs w:val="24"/>
              </w:rPr>
              <w:tab/>
            </w:r>
            <w:r w:rsidRPr="20EA7E8A">
              <w:rPr>
                <w:b w:val="0"/>
                <w:sz w:val="24"/>
                <w:szCs w:val="24"/>
              </w:rPr>
              <w:t>iv.</w:t>
            </w:r>
            <w:r w:rsidRPr="00174FFF">
              <w:rPr>
                <w:b w:val="0"/>
                <w:sz w:val="24"/>
                <w:szCs w:val="24"/>
              </w:rPr>
              <w:tab/>
            </w:r>
            <w:r w:rsidRPr="20EA7E8A">
              <w:rPr>
                <w:b w:val="0"/>
                <w:sz w:val="24"/>
                <w:szCs w:val="24"/>
              </w:rPr>
              <w:t>The disclosed data should never permit identification when used in combination with other known data.</w:t>
            </w:r>
          </w:p>
          <w:p w14:paraId="2D2886B4" w14:textId="1E1A9AE8" w:rsidR="00E54C00" w:rsidRPr="00174FFF" w:rsidRDefault="00E54C00" w:rsidP="20EA7E8A">
            <w:pPr>
              <w:tabs>
                <w:tab w:val="left" w:pos="360"/>
                <w:tab w:val="left" w:pos="540"/>
                <w:tab w:val="left" w:pos="1080"/>
                <w:tab w:val="left" w:pos="1440"/>
              </w:tabs>
              <w:ind w:left="1051" w:hanging="691"/>
              <w:rPr>
                <w:b w:val="0"/>
                <w:sz w:val="24"/>
                <w:szCs w:val="24"/>
              </w:rPr>
            </w:pPr>
          </w:p>
        </w:tc>
      </w:tr>
      <w:tr w:rsidR="00D40FB8" w14:paraId="3D89E333" w14:textId="77777777" w:rsidTr="475B2710">
        <w:trPr>
          <w:trHeight w:val="1242"/>
        </w:trPr>
        <w:tc>
          <w:tcPr>
            <w:tcW w:w="1800"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14:paraId="2D291757" w14:textId="06A935A7" w:rsidR="00D40FB8" w:rsidRPr="00174FFF" w:rsidDel="00D3216D" w:rsidRDefault="00D40FB8" w:rsidP="00E4144A">
            <w:pPr>
              <w:jc w:val="center"/>
              <w:rPr>
                <w:sz w:val="24"/>
                <w:szCs w:val="24"/>
              </w:rPr>
            </w:pPr>
          </w:p>
        </w:tc>
        <w:tc>
          <w:tcPr>
            <w:tcW w:w="8206" w:type="dxa"/>
            <w:tcBorders>
              <w:top w:val="single" w:sz="4" w:space="0" w:color="000000" w:themeColor="text1"/>
              <w:left w:val="single" w:sz="4" w:space="0" w:color="000000" w:themeColor="text1"/>
              <w:bottom w:val="single" w:sz="4" w:space="0" w:color="000000" w:themeColor="text1"/>
              <w:right w:val="single" w:sz="12" w:space="0" w:color="auto"/>
            </w:tcBorders>
            <w:vAlign w:val="center"/>
          </w:tcPr>
          <w:p w14:paraId="7E4D653A" w14:textId="77777777" w:rsidR="003E52EC" w:rsidRDefault="00D40FB8" w:rsidP="20EA7E8A">
            <w:pPr>
              <w:pStyle w:val="BodyTextIndent2"/>
              <w:widowControl w:val="0"/>
              <w:autoSpaceDE w:val="0"/>
              <w:autoSpaceDN w:val="0"/>
              <w:adjustRightInd w:val="0"/>
              <w:spacing w:after="0" w:line="240" w:lineRule="auto"/>
              <w:ind w:left="0"/>
            </w:pPr>
            <w:r w:rsidRPr="20EA7E8A">
              <w:t xml:space="preserve">If analyses of subcounty data (e.g., ZIP code, city) will be conducted, these variables can only be used for aggregate modeling purposes. </w:t>
            </w:r>
            <w:r w:rsidR="004D7FAA" w:rsidRPr="20EA7E8A">
              <w:t>To prevent inadvertent disclosure, s</w:t>
            </w:r>
            <w:r w:rsidRPr="20EA7E8A">
              <w:t xml:space="preserve">ubcounty counts cannot be displayed in any presentations, products, or other analytic outputs. </w:t>
            </w:r>
          </w:p>
          <w:p w14:paraId="1C7131A2" w14:textId="366FE914" w:rsidR="00E54C00" w:rsidRPr="00174FFF" w:rsidRDefault="00E54C00" w:rsidP="20EA7E8A">
            <w:pPr>
              <w:pStyle w:val="BodyTextIndent2"/>
              <w:widowControl w:val="0"/>
              <w:autoSpaceDE w:val="0"/>
              <w:autoSpaceDN w:val="0"/>
              <w:adjustRightInd w:val="0"/>
              <w:spacing w:after="0" w:line="240" w:lineRule="auto"/>
              <w:ind w:left="0"/>
            </w:pPr>
          </w:p>
        </w:tc>
      </w:tr>
      <w:tr w:rsidR="00461D01" w14:paraId="04632D31" w14:textId="77777777" w:rsidTr="475B2710">
        <w:trPr>
          <w:trHeight w:val="873"/>
        </w:trPr>
        <w:tc>
          <w:tcPr>
            <w:tcW w:w="1800" w:type="dxa"/>
            <w:tcBorders>
              <w:top w:val="single" w:sz="4" w:space="0" w:color="000000" w:themeColor="text1"/>
              <w:left w:val="single" w:sz="12" w:space="0" w:color="auto"/>
              <w:bottom w:val="single" w:sz="4" w:space="0" w:color="000000" w:themeColor="text1"/>
              <w:right w:val="single" w:sz="4" w:space="0" w:color="000000" w:themeColor="text1"/>
            </w:tcBorders>
            <w:shd w:val="clear" w:color="auto" w:fill="E7E6E6" w:themeFill="background2"/>
            <w:vAlign w:val="center"/>
          </w:tcPr>
          <w:p w14:paraId="1FB72EA6" w14:textId="418FC0EF" w:rsidR="00461D01" w:rsidRPr="00174FFF" w:rsidDel="00D3216D" w:rsidRDefault="00461D01" w:rsidP="00E4144A">
            <w:pPr>
              <w:jc w:val="center"/>
              <w:rPr>
                <w:sz w:val="24"/>
                <w:szCs w:val="24"/>
              </w:rPr>
            </w:pPr>
          </w:p>
        </w:tc>
        <w:tc>
          <w:tcPr>
            <w:tcW w:w="8206"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E7E6E6" w:themeFill="background2"/>
            <w:vAlign w:val="center"/>
          </w:tcPr>
          <w:p w14:paraId="509A2B86" w14:textId="735BA297" w:rsidR="003E52EC" w:rsidRPr="003138A5" w:rsidRDefault="00461D01" w:rsidP="20EA7E8A">
            <w:pPr>
              <w:pStyle w:val="BodyTextIndent2"/>
              <w:widowControl w:val="0"/>
              <w:autoSpaceDE w:val="0"/>
              <w:autoSpaceDN w:val="0"/>
              <w:adjustRightInd w:val="0"/>
              <w:spacing w:after="0" w:line="240" w:lineRule="auto"/>
              <w:ind w:left="0"/>
              <w:rPr>
                <w:rStyle w:val="Hyperlink"/>
                <w:color w:val="auto"/>
                <w:u w:val="none"/>
              </w:rPr>
            </w:pPr>
            <w:r w:rsidRPr="20EA7E8A">
              <w:t>The Principal Investigator agrees to notify the CDC in advance as to when and where a publication of a report (or other public disclosure) from the project will appear</w:t>
            </w:r>
            <w:r w:rsidR="00E54C00" w:rsidRPr="20EA7E8A">
              <w:rPr>
                <w:rStyle w:val="Hyperlink"/>
                <w:color w:val="auto"/>
                <w:u w:val="none"/>
              </w:rPr>
              <w:t>.</w:t>
            </w:r>
          </w:p>
          <w:p w14:paraId="51855D90" w14:textId="7A314E6A" w:rsidR="00E54C00" w:rsidRPr="00174FFF" w:rsidRDefault="00E54C00" w:rsidP="20EA7E8A">
            <w:pPr>
              <w:pStyle w:val="BodyTextIndent2"/>
              <w:widowControl w:val="0"/>
              <w:autoSpaceDE w:val="0"/>
              <w:autoSpaceDN w:val="0"/>
              <w:adjustRightInd w:val="0"/>
              <w:spacing w:after="0" w:line="240" w:lineRule="auto"/>
              <w:ind w:left="0"/>
            </w:pPr>
          </w:p>
        </w:tc>
      </w:tr>
      <w:tr w:rsidR="147BF21F" w14:paraId="42C7EFA4" w14:textId="77777777" w:rsidTr="475B2710">
        <w:trPr>
          <w:trHeight w:val="873"/>
        </w:trPr>
        <w:tc>
          <w:tcPr>
            <w:tcW w:w="1800"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14:paraId="07611EBE" w14:textId="2A8523DE" w:rsidR="147BF21F" w:rsidRDefault="147BF21F" w:rsidP="147BF21F">
            <w:pPr>
              <w:jc w:val="center"/>
              <w:rPr>
                <w:sz w:val="24"/>
                <w:szCs w:val="24"/>
              </w:rPr>
            </w:pPr>
          </w:p>
        </w:tc>
        <w:tc>
          <w:tcPr>
            <w:tcW w:w="8206" w:type="dxa"/>
            <w:tcBorders>
              <w:top w:val="single" w:sz="4" w:space="0" w:color="000000" w:themeColor="text1"/>
              <w:left w:val="single" w:sz="4" w:space="0" w:color="000000" w:themeColor="text1"/>
              <w:bottom w:val="single" w:sz="4" w:space="0" w:color="000000" w:themeColor="text1"/>
              <w:right w:val="single" w:sz="12" w:space="0" w:color="auto"/>
            </w:tcBorders>
            <w:vAlign w:val="center"/>
          </w:tcPr>
          <w:p w14:paraId="19C41E37" w14:textId="77777777" w:rsidR="68395F4F" w:rsidRDefault="68395F4F" w:rsidP="00165CF1">
            <w:pPr>
              <w:pStyle w:val="BodyTextIndent2"/>
              <w:spacing w:after="0" w:line="240" w:lineRule="auto"/>
              <w:ind w:left="0"/>
            </w:pPr>
            <w:r w:rsidRPr="20EA7E8A">
              <w:t xml:space="preserve">The Principal Investigator </w:t>
            </w:r>
            <w:r w:rsidR="56877DCD" w:rsidRPr="20EA7E8A">
              <w:t>acknowledges</w:t>
            </w:r>
            <w:r w:rsidRPr="20EA7E8A">
              <w:t xml:space="preserve"> that violation of any condition of the NVDRS RAD Data Sharing Agreement may result in the disqualification of the Principal Investigator(s) and collaborators from having access to the NVDRS data.</w:t>
            </w:r>
          </w:p>
          <w:p w14:paraId="36B6B602" w14:textId="12F1FAE7" w:rsidR="00165CF1" w:rsidRDefault="00165CF1" w:rsidP="00165CF1">
            <w:pPr>
              <w:pStyle w:val="BodyTextIndent2"/>
              <w:spacing w:after="0" w:line="240" w:lineRule="auto"/>
              <w:ind w:left="0"/>
            </w:pPr>
          </w:p>
        </w:tc>
      </w:tr>
      <w:tr w:rsidR="004F3353" w14:paraId="07E16FFF" w14:textId="77777777" w:rsidTr="003138A5">
        <w:tblPrEx>
          <w:tblCellMar>
            <w:top w:w="65" w:type="dxa"/>
            <w:right w:w="74" w:type="dxa"/>
          </w:tblCellMar>
        </w:tblPrEx>
        <w:trPr>
          <w:trHeight w:val="264"/>
        </w:trPr>
        <w:tc>
          <w:tcPr>
            <w:tcW w:w="10006" w:type="dxa"/>
            <w:gridSpan w:val="2"/>
            <w:tcBorders>
              <w:top w:val="single" w:sz="46" w:space="0" w:color="1F487C"/>
              <w:left w:val="single" w:sz="12" w:space="0" w:color="auto"/>
              <w:bottom w:val="single" w:sz="46" w:space="0" w:color="1F487C"/>
              <w:right w:val="single" w:sz="12" w:space="0" w:color="auto"/>
            </w:tcBorders>
            <w:shd w:val="clear" w:color="auto" w:fill="7030A0"/>
            <w:vAlign w:val="center"/>
          </w:tcPr>
          <w:p w14:paraId="09727AE6" w14:textId="77777777" w:rsidR="004F3353" w:rsidRPr="00174FFF" w:rsidRDefault="004F3353" w:rsidP="00E4144A">
            <w:pPr>
              <w:ind w:right="133"/>
              <w:jc w:val="center"/>
              <w:rPr>
                <w:sz w:val="24"/>
                <w:szCs w:val="24"/>
              </w:rPr>
            </w:pPr>
            <w:r w:rsidRPr="00174FFF">
              <w:rPr>
                <w:rFonts w:eastAsia="Calibri"/>
                <w:color w:val="FFFFFF"/>
                <w:sz w:val="24"/>
                <w:szCs w:val="24"/>
              </w:rPr>
              <w:t>Proposal Package</w:t>
            </w:r>
          </w:p>
        </w:tc>
      </w:tr>
      <w:tr w:rsidR="004F3353" w14:paraId="56FC698D" w14:textId="77777777" w:rsidTr="475B2710">
        <w:tblPrEx>
          <w:tblCellMar>
            <w:top w:w="65" w:type="dxa"/>
            <w:right w:w="74" w:type="dxa"/>
          </w:tblCellMar>
        </w:tblPrEx>
        <w:trPr>
          <w:trHeight w:val="791"/>
        </w:trPr>
        <w:tc>
          <w:tcPr>
            <w:tcW w:w="1800" w:type="dxa"/>
            <w:tcBorders>
              <w:top w:val="single" w:sz="46" w:space="0" w:color="1F487C"/>
              <w:left w:val="single" w:sz="12" w:space="0" w:color="auto"/>
              <w:bottom w:val="single" w:sz="4" w:space="0" w:color="000000" w:themeColor="text1"/>
              <w:right w:val="single" w:sz="4" w:space="0" w:color="000000" w:themeColor="text1"/>
            </w:tcBorders>
            <w:shd w:val="clear" w:color="auto" w:fill="E7E6E6" w:themeFill="background2"/>
            <w:vAlign w:val="center"/>
          </w:tcPr>
          <w:p w14:paraId="6E924414" w14:textId="42E97587" w:rsidR="004F3353" w:rsidRPr="00174FFF" w:rsidRDefault="004F3353" w:rsidP="00E4144A">
            <w:pPr>
              <w:jc w:val="center"/>
              <w:rPr>
                <w:sz w:val="24"/>
                <w:szCs w:val="24"/>
              </w:rPr>
            </w:pPr>
          </w:p>
        </w:tc>
        <w:tc>
          <w:tcPr>
            <w:tcW w:w="8206" w:type="dxa"/>
            <w:tcBorders>
              <w:top w:val="single" w:sz="46" w:space="0" w:color="1F487C"/>
              <w:left w:val="single" w:sz="4" w:space="0" w:color="000000" w:themeColor="text1"/>
              <w:bottom w:val="single" w:sz="4" w:space="0" w:color="000000" w:themeColor="text1"/>
              <w:right w:val="single" w:sz="12" w:space="0" w:color="auto"/>
            </w:tcBorders>
            <w:shd w:val="clear" w:color="auto" w:fill="E7E6E6" w:themeFill="background2"/>
            <w:vAlign w:val="center"/>
          </w:tcPr>
          <w:p w14:paraId="0DF6C37D" w14:textId="57B228C9" w:rsidR="00E60772" w:rsidRDefault="00B82358" w:rsidP="005731E4">
            <w:pPr>
              <w:rPr>
                <w:b w:val="0"/>
                <w:sz w:val="24"/>
                <w:szCs w:val="24"/>
              </w:rPr>
            </w:pPr>
            <w:r w:rsidRPr="00174FFF">
              <w:rPr>
                <w:b w:val="0"/>
                <w:sz w:val="24"/>
                <w:szCs w:val="24"/>
              </w:rPr>
              <w:t xml:space="preserve">The proposal package includes all required items listed </w:t>
            </w:r>
            <w:hyperlink r:id="rId12" w:history="1">
              <w:r w:rsidRPr="00174FFF">
                <w:rPr>
                  <w:rStyle w:val="Hyperlink"/>
                  <w:b w:val="0"/>
                  <w:sz w:val="24"/>
                  <w:szCs w:val="24"/>
                </w:rPr>
                <w:t>here</w:t>
              </w:r>
            </w:hyperlink>
            <w:r w:rsidRPr="00174FFF">
              <w:rPr>
                <w:b w:val="0"/>
                <w:sz w:val="24"/>
                <w:szCs w:val="24"/>
              </w:rPr>
              <w:t xml:space="preserve"> in the NVDRS RAD Proposal Packet and Submission section.</w:t>
            </w:r>
            <w:r w:rsidR="003D4F1C" w:rsidRPr="00174FFF" w:rsidDel="003D4F1C">
              <w:rPr>
                <w:b w:val="0"/>
                <w:sz w:val="24"/>
                <w:szCs w:val="24"/>
              </w:rPr>
              <w:t xml:space="preserve"> </w:t>
            </w:r>
            <w:r w:rsidR="003D4F1C" w:rsidRPr="00174FFF">
              <w:rPr>
                <w:b w:val="0"/>
                <w:sz w:val="24"/>
                <w:szCs w:val="24"/>
              </w:rPr>
              <w:t xml:space="preserve"> </w:t>
            </w:r>
          </w:p>
          <w:p w14:paraId="7C4AA72D" w14:textId="79A01947" w:rsidR="00E54C00" w:rsidRPr="00174FFF" w:rsidRDefault="00E54C00" w:rsidP="005731E4">
            <w:pPr>
              <w:rPr>
                <w:b w:val="0"/>
                <w:sz w:val="24"/>
                <w:szCs w:val="24"/>
              </w:rPr>
            </w:pPr>
          </w:p>
        </w:tc>
      </w:tr>
      <w:tr w:rsidR="00B82358" w14:paraId="46A67A87" w14:textId="77777777" w:rsidTr="475B2710">
        <w:tblPrEx>
          <w:tblCellMar>
            <w:top w:w="65" w:type="dxa"/>
            <w:right w:w="74" w:type="dxa"/>
          </w:tblCellMar>
        </w:tblPrEx>
        <w:trPr>
          <w:trHeight w:val="1026"/>
        </w:trPr>
        <w:tc>
          <w:tcPr>
            <w:tcW w:w="1800"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14:paraId="7489F70C" w14:textId="114E9AAE" w:rsidR="00B82358" w:rsidRPr="00174FFF" w:rsidDel="00D3216D" w:rsidRDefault="00B82358" w:rsidP="00E4144A">
            <w:pPr>
              <w:jc w:val="center"/>
              <w:rPr>
                <w:sz w:val="24"/>
                <w:szCs w:val="24"/>
              </w:rPr>
            </w:pPr>
          </w:p>
        </w:tc>
        <w:tc>
          <w:tcPr>
            <w:tcW w:w="8206" w:type="dxa"/>
            <w:tcBorders>
              <w:top w:val="single" w:sz="4" w:space="0" w:color="000000" w:themeColor="text1"/>
              <w:left w:val="single" w:sz="4" w:space="0" w:color="000000" w:themeColor="text1"/>
              <w:bottom w:val="single" w:sz="4" w:space="0" w:color="000000" w:themeColor="text1"/>
              <w:right w:val="single" w:sz="12" w:space="0" w:color="auto"/>
            </w:tcBorders>
            <w:vAlign w:val="center"/>
          </w:tcPr>
          <w:p w14:paraId="42E5D8A7" w14:textId="16145D50" w:rsidR="00E60772" w:rsidRDefault="00B82358" w:rsidP="00174FFF">
            <w:pPr>
              <w:ind w:left="1"/>
              <w:rPr>
                <w:b w:val="0"/>
                <w:sz w:val="24"/>
                <w:szCs w:val="24"/>
              </w:rPr>
            </w:pPr>
            <w:r w:rsidRPr="00174FFF">
              <w:rPr>
                <w:b w:val="0"/>
                <w:sz w:val="24"/>
                <w:szCs w:val="24"/>
              </w:rPr>
              <w:t xml:space="preserve">The names of all collaborators who will be </w:t>
            </w:r>
            <w:r w:rsidR="005E5528">
              <w:rPr>
                <w:b w:val="0"/>
                <w:sz w:val="24"/>
                <w:szCs w:val="24"/>
              </w:rPr>
              <w:t xml:space="preserve">working on the RAD project, regardless of </w:t>
            </w:r>
            <w:r w:rsidRPr="00174FFF">
              <w:rPr>
                <w:b w:val="0"/>
                <w:sz w:val="24"/>
                <w:szCs w:val="24"/>
              </w:rPr>
              <w:t>access</w:t>
            </w:r>
            <w:r w:rsidR="005E5528">
              <w:rPr>
                <w:b w:val="0"/>
                <w:sz w:val="24"/>
                <w:szCs w:val="24"/>
              </w:rPr>
              <w:t xml:space="preserve"> to</w:t>
            </w:r>
            <w:r w:rsidRPr="00174FFF">
              <w:rPr>
                <w:b w:val="0"/>
                <w:sz w:val="24"/>
                <w:szCs w:val="24"/>
              </w:rPr>
              <w:t xml:space="preserve"> the RAD </w:t>
            </w:r>
            <w:r w:rsidR="005E5528">
              <w:rPr>
                <w:b w:val="0"/>
                <w:sz w:val="24"/>
                <w:szCs w:val="24"/>
              </w:rPr>
              <w:t>dataset</w:t>
            </w:r>
            <w:r w:rsidR="007B470E">
              <w:rPr>
                <w:b w:val="0"/>
                <w:sz w:val="24"/>
                <w:szCs w:val="24"/>
              </w:rPr>
              <w:t>,</w:t>
            </w:r>
            <w:r w:rsidR="005E5528" w:rsidRPr="00174FFF">
              <w:rPr>
                <w:b w:val="0"/>
                <w:sz w:val="24"/>
                <w:szCs w:val="24"/>
              </w:rPr>
              <w:t xml:space="preserve"> </w:t>
            </w:r>
            <w:r w:rsidRPr="00174FFF">
              <w:rPr>
                <w:b w:val="0"/>
                <w:sz w:val="24"/>
                <w:szCs w:val="24"/>
              </w:rPr>
              <w:t>under the requesting Principal Investigator’s supervision have been included in the application packet.</w:t>
            </w:r>
          </w:p>
          <w:p w14:paraId="6BD788C2" w14:textId="4EB64E47" w:rsidR="00E54C00" w:rsidRPr="00174FFF" w:rsidRDefault="00E54C00" w:rsidP="00174FFF">
            <w:pPr>
              <w:ind w:left="1"/>
              <w:rPr>
                <w:b w:val="0"/>
                <w:sz w:val="24"/>
                <w:szCs w:val="24"/>
              </w:rPr>
            </w:pPr>
          </w:p>
        </w:tc>
      </w:tr>
      <w:tr w:rsidR="004F3353" w14:paraId="450EDD3F" w14:textId="77777777" w:rsidTr="475B2710">
        <w:tblPrEx>
          <w:tblCellMar>
            <w:top w:w="65" w:type="dxa"/>
            <w:right w:w="74" w:type="dxa"/>
          </w:tblCellMar>
        </w:tblPrEx>
        <w:trPr>
          <w:trHeight w:val="1638"/>
        </w:trPr>
        <w:tc>
          <w:tcPr>
            <w:tcW w:w="1800" w:type="dxa"/>
            <w:tcBorders>
              <w:top w:val="single" w:sz="4" w:space="0" w:color="000000" w:themeColor="text1"/>
              <w:left w:val="single" w:sz="12" w:space="0" w:color="auto"/>
              <w:bottom w:val="single" w:sz="4" w:space="0" w:color="000000" w:themeColor="text1"/>
              <w:right w:val="single" w:sz="4" w:space="0" w:color="000000" w:themeColor="text1"/>
            </w:tcBorders>
            <w:shd w:val="clear" w:color="auto" w:fill="E7E6E6" w:themeFill="background2"/>
            <w:vAlign w:val="center"/>
          </w:tcPr>
          <w:p w14:paraId="2C6A17F9" w14:textId="0F90C880" w:rsidR="004F3353" w:rsidRPr="00174FFF" w:rsidRDefault="004F3353" w:rsidP="00E4144A">
            <w:pPr>
              <w:jc w:val="center"/>
              <w:rPr>
                <w:sz w:val="24"/>
                <w:szCs w:val="24"/>
              </w:rPr>
            </w:pPr>
          </w:p>
        </w:tc>
        <w:tc>
          <w:tcPr>
            <w:tcW w:w="8206"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E7E6E6" w:themeFill="background2"/>
            <w:vAlign w:val="center"/>
          </w:tcPr>
          <w:p w14:paraId="75D207BE" w14:textId="264C7139" w:rsidR="00E60772" w:rsidRDefault="00B82358" w:rsidP="00174FFF">
            <w:pPr>
              <w:ind w:left="1"/>
              <w:rPr>
                <w:b w:val="0"/>
                <w:sz w:val="24"/>
                <w:szCs w:val="24"/>
              </w:rPr>
            </w:pPr>
            <w:r w:rsidRPr="00174FFF">
              <w:rPr>
                <w:b w:val="0"/>
                <w:sz w:val="24"/>
                <w:szCs w:val="24"/>
              </w:rPr>
              <w:t xml:space="preserve">The Principal Investigator has ensured that all collaborators who will be </w:t>
            </w:r>
            <w:r w:rsidR="007B470E">
              <w:rPr>
                <w:b w:val="0"/>
                <w:sz w:val="24"/>
                <w:szCs w:val="24"/>
              </w:rPr>
              <w:t xml:space="preserve">working on the RAD project, regardless of </w:t>
            </w:r>
            <w:r w:rsidR="007B470E" w:rsidRPr="00174FFF">
              <w:rPr>
                <w:b w:val="0"/>
                <w:sz w:val="24"/>
                <w:szCs w:val="24"/>
              </w:rPr>
              <w:t>access</w:t>
            </w:r>
            <w:r w:rsidR="007B470E">
              <w:rPr>
                <w:b w:val="0"/>
                <w:sz w:val="24"/>
                <w:szCs w:val="24"/>
              </w:rPr>
              <w:t xml:space="preserve"> to</w:t>
            </w:r>
            <w:r w:rsidR="007B470E" w:rsidRPr="00174FFF">
              <w:rPr>
                <w:b w:val="0"/>
                <w:sz w:val="24"/>
                <w:szCs w:val="24"/>
              </w:rPr>
              <w:t xml:space="preserve"> the RAD </w:t>
            </w:r>
            <w:r w:rsidR="007B470E">
              <w:rPr>
                <w:b w:val="0"/>
                <w:sz w:val="24"/>
                <w:szCs w:val="24"/>
              </w:rPr>
              <w:t xml:space="preserve">dataset, </w:t>
            </w:r>
            <w:r w:rsidRPr="00174FFF">
              <w:rPr>
                <w:b w:val="0"/>
                <w:sz w:val="24"/>
                <w:szCs w:val="24"/>
              </w:rPr>
              <w:t>under the requesting Principal Investigator’s supervision have reviewed and signed the NVDRS RAD Data Sharing Agreement.  The Principal Investigator and collaborators all agree to comply with the terms and conditions described in the NVDRS RAD Data Sharing Agreement.</w:t>
            </w:r>
          </w:p>
          <w:p w14:paraId="7D266573" w14:textId="06B556DD" w:rsidR="00E54C00" w:rsidRPr="00174FFF" w:rsidRDefault="00E54C00" w:rsidP="00174FFF">
            <w:pPr>
              <w:ind w:left="1"/>
              <w:rPr>
                <w:b w:val="0"/>
                <w:sz w:val="24"/>
                <w:szCs w:val="24"/>
              </w:rPr>
            </w:pPr>
          </w:p>
        </w:tc>
      </w:tr>
      <w:tr w:rsidR="005C4420" w14:paraId="292993D0" w14:textId="77777777" w:rsidTr="475B2710">
        <w:tblPrEx>
          <w:tblCellMar>
            <w:top w:w="65" w:type="dxa"/>
            <w:right w:w="74" w:type="dxa"/>
          </w:tblCellMar>
        </w:tblPrEx>
        <w:trPr>
          <w:trHeight w:val="648"/>
        </w:trPr>
        <w:tc>
          <w:tcPr>
            <w:tcW w:w="1800"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14:paraId="664A8616" w14:textId="40688E52" w:rsidR="005C4420" w:rsidRPr="00174FFF" w:rsidRDefault="005C4420" w:rsidP="00E4144A">
            <w:pPr>
              <w:jc w:val="center"/>
              <w:rPr>
                <w:b w:val="0"/>
                <w:sz w:val="24"/>
                <w:szCs w:val="24"/>
              </w:rPr>
            </w:pPr>
          </w:p>
        </w:tc>
        <w:tc>
          <w:tcPr>
            <w:tcW w:w="8206" w:type="dxa"/>
            <w:tcBorders>
              <w:top w:val="single" w:sz="4" w:space="0" w:color="000000" w:themeColor="text1"/>
              <w:left w:val="single" w:sz="4" w:space="0" w:color="000000" w:themeColor="text1"/>
              <w:bottom w:val="single" w:sz="4" w:space="0" w:color="000000" w:themeColor="text1"/>
              <w:right w:val="single" w:sz="12" w:space="0" w:color="auto"/>
            </w:tcBorders>
            <w:vAlign w:val="center"/>
          </w:tcPr>
          <w:p w14:paraId="11C1812C" w14:textId="7966D45F" w:rsidR="00B82358" w:rsidRPr="00174FFF" w:rsidRDefault="00B82358" w:rsidP="00B82358">
            <w:pPr>
              <w:ind w:left="2"/>
              <w:rPr>
                <w:b w:val="0"/>
                <w:sz w:val="24"/>
                <w:szCs w:val="24"/>
              </w:rPr>
            </w:pPr>
            <w:r w:rsidRPr="00174FFF">
              <w:rPr>
                <w:b w:val="0"/>
                <w:sz w:val="24"/>
                <w:szCs w:val="24"/>
              </w:rPr>
              <w:t xml:space="preserve">RAD proposals that include a request for the following variables must include a justification as to why these variables are necessary for the study: </w:t>
            </w:r>
            <w:r w:rsidRPr="00174FFF">
              <w:rPr>
                <w:b w:val="0"/>
                <w:i/>
                <w:sz w:val="24"/>
                <w:szCs w:val="24"/>
              </w:rPr>
              <w:t xml:space="preserve">Manners of death, County of residence, City of residence, </w:t>
            </w:r>
            <w:r w:rsidR="00CC3539">
              <w:rPr>
                <w:b w:val="0"/>
                <w:i/>
                <w:sz w:val="24"/>
                <w:szCs w:val="24"/>
              </w:rPr>
              <w:t>Z</w:t>
            </w:r>
            <w:r w:rsidR="00F73A14">
              <w:rPr>
                <w:b w:val="0"/>
                <w:i/>
                <w:sz w:val="24"/>
                <w:szCs w:val="24"/>
              </w:rPr>
              <w:t>IP</w:t>
            </w:r>
            <w:r w:rsidR="00CC3539" w:rsidRPr="00174FFF">
              <w:rPr>
                <w:b w:val="0"/>
                <w:i/>
                <w:sz w:val="24"/>
                <w:szCs w:val="24"/>
              </w:rPr>
              <w:t xml:space="preserve"> </w:t>
            </w:r>
            <w:r w:rsidRPr="00174FFF">
              <w:rPr>
                <w:b w:val="0"/>
                <w:i/>
                <w:sz w:val="24"/>
                <w:szCs w:val="24"/>
              </w:rPr>
              <w:t xml:space="preserve">code of residence, Date of injury, Time of injury, County of injury occurrence, City of injury occurrence, </w:t>
            </w:r>
            <w:r w:rsidR="00753F1F">
              <w:rPr>
                <w:b w:val="0"/>
                <w:i/>
                <w:sz w:val="24"/>
                <w:szCs w:val="24"/>
              </w:rPr>
              <w:t>Z</w:t>
            </w:r>
            <w:r w:rsidR="00F73A14">
              <w:rPr>
                <w:b w:val="0"/>
                <w:i/>
                <w:sz w:val="24"/>
                <w:szCs w:val="24"/>
              </w:rPr>
              <w:t>IP</w:t>
            </w:r>
            <w:r w:rsidR="00753F1F" w:rsidRPr="00174FFF">
              <w:rPr>
                <w:b w:val="0"/>
                <w:i/>
                <w:sz w:val="24"/>
                <w:szCs w:val="24"/>
              </w:rPr>
              <w:t xml:space="preserve"> </w:t>
            </w:r>
            <w:r w:rsidRPr="00174FFF">
              <w:rPr>
                <w:b w:val="0"/>
                <w:i/>
                <w:sz w:val="24"/>
                <w:szCs w:val="24"/>
              </w:rPr>
              <w:t xml:space="preserve">code of injury occurrence, </w:t>
            </w:r>
            <w:r w:rsidR="005E448D">
              <w:rPr>
                <w:b w:val="0"/>
                <w:i/>
                <w:sz w:val="24"/>
                <w:szCs w:val="24"/>
              </w:rPr>
              <w:t xml:space="preserve">County in which the death occurred, </w:t>
            </w:r>
            <w:r w:rsidRPr="00174FFF">
              <w:rPr>
                <w:b w:val="0"/>
                <w:i/>
                <w:sz w:val="24"/>
                <w:szCs w:val="24"/>
              </w:rPr>
              <w:t>Date pronounced dead, Date of death, and Suspect variables</w:t>
            </w:r>
            <w:r w:rsidRPr="00174FFF">
              <w:rPr>
                <w:b w:val="0"/>
                <w:sz w:val="24"/>
                <w:szCs w:val="24"/>
              </w:rPr>
              <w:t xml:space="preserve">. </w:t>
            </w:r>
          </w:p>
          <w:p w14:paraId="47853FC3" w14:textId="77777777" w:rsidR="00B82358" w:rsidRPr="00174FFF" w:rsidRDefault="00B82358" w:rsidP="00B82358">
            <w:pPr>
              <w:ind w:left="2"/>
              <w:rPr>
                <w:b w:val="0"/>
                <w:sz w:val="24"/>
                <w:szCs w:val="24"/>
              </w:rPr>
            </w:pPr>
          </w:p>
          <w:p w14:paraId="6774A1C0" w14:textId="7BFFFABF" w:rsidR="00E60772" w:rsidRDefault="00B82358" w:rsidP="00174FFF">
            <w:pPr>
              <w:ind w:left="1"/>
              <w:rPr>
                <w:b w:val="0"/>
                <w:color w:val="000000" w:themeColor="text1"/>
                <w:sz w:val="24"/>
                <w:szCs w:val="24"/>
              </w:rPr>
            </w:pPr>
            <w:r w:rsidRPr="41946E88">
              <w:rPr>
                <w:b w:val="0"/>
                <w:color w:val="000000" w:themeColor="text1"/>
                <w:sz w:val="24"/>
                <w:szCs w:val="24"/>
              </w:rPr>
              <w:t xml:space="preserve">RAD requestors who submit proposals </w:t>
            </w:r>
            <w:r w:rsidRPr="41946E88">
              <w:rPr>
                <w:b w:val="0"/>
                <w:sz w:val="24"/>
                <w:szCs w:val="24"/>
              </w:rPr>
              <w:t xml:space="preserve">that do not include justification for the abovementioned variables </w:t>
            </w:r>
            <w:r w:rsidRPr="41946E88">
              <w:rPr>
                <w:b w:val="0"/>
                <w:color w:val="000000" w:themeColor="text1"/>
                <w:sz w:val="24"/>
                <w:szCs w:val="24"/>
              </w:rPr>
              <w:t>will be required to revise and resubmit proposals providing justification or remov</w:t>
            </w:r>
            <w:r w:rsidR="00174FFF" w:rsidRPr="41946E88">
              <w:rPr>
                <w:b w:val="0"/>
                <w:color w:val="000000" w:themeColor="text1"/>
                <w:sz w:val="24"/>
                <w:szCs w:val="24"/>
              </w:rPr>
              <w:t>ing</w:t>
            </w:r>
            <w:r w:rsidRPr="41946E88">
              <w:rPr>
                <w:b w:val="0"/>
                <w:color w:val="000000" w:themeColor="text1"/>
                <w:sz w:val="24"/>
                <w:szCs w:val="24"/>
              </w:rPr>
              <w:t xml:space="preserve"> the variables from their proposed analyses and NVDRS File Specification sheet.</w:t>
            </w:r>
          </w:p>
          <w:p w14:paraId="5406EFC7" w14:textId="157FEB5A" w:rsidR="00E54C00" w:rsidRPr="00174FFF" w:rsidRDefault="00E54C00" w:rsidP="00174FFF">
            <w:pPr>
              <w:ind w:left="1"/>
              <w:rPr>
                <w:b w:val="0"/>
                <w:color w:val="000000" w:themeColor="text1"/>
                <w:sz w:val="24"/>
                <w:szCs w:val="24"/>
              </w:rPr>
            </w:pPr>
          </w:p>
        </w:tc>
      </w:tr>
      <w:tr w:rsidR="004F3353" w14:paraId="7E9BBF39" w14:textId="77777777" w:rsidTr="475B2710">
        <w:tblPrEx>
          <w:tblCellMar>
            <w:top w:w="65" w:type="dxa"/>
            <w:right w:w="74" w:type="dxa"/>
          </w:tblCellMar>
        </w:tblPrEx>
        <w:trPr>
          <w:trHeight w:val="1773"/>
        </w:trPr>
        <w:tc>
          <w:tcPr>
            <w:tcW w:w="1800" w:type="dxa"/>
            <w:tcBorders>
              <w:top w:val="single" w:sz="4" w:space="0" w:color="000000" w:themeColor="text1"/>
              <w:left w:val="single" w:sz="12" w:space="0" w:color="auto"/>
              <w:bottom w:val="single" w:sz="4" w:space="0" w:color="000000" w:themeColor="text1"/>
              <w:right w:val="single" w:sz="4" w:space="0" w:color="000000" w:themeColor="text1"/>
            </w:tcBorders>
            <w:shd w:val="clear" w:color="auto" w:fill="E7E6E6" w:themeFill="background2"/>
            <w:vAlign w:val="center"/>
          </w:tcPr>
          <w:p w14:paraId="3B186955" w14:textId="0628C5FF" w:rsidR="004F3353" w:rsidRPr="00174FFF" w:rsidRDefault="004F3353" w:rsidP="00E4144A">
            <w:pPr>
              <w:jc w:val="center"/>
              <w:rPr>
                <w:sz w:val="24"/>
                <w:szCs w:val="24"/>
              </w:rPr>
            </w:pPr>
          </w:p>
        </w:tc>
        <w:tc>
          <w:tcPr>
            <w:tcW w:w="8206"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E7E6E6" w:themeFill="background2"/>
            <w:vAlign w:val="center"/>
          </w:tcPr>
          <w:p w14:paraId="2017074F" w14:textId="77777777" w:rsidR="004F3353" w:rsidRDefault="005731E4" w:rsidP="00174FFF">
            <w:pPr>
              <w:ind w:left="1"/>
              <w:rPr>
                <w:b w:val="0"/>
                <w:color w:val="000000" w:themeColor="text1"/>
                <w:sz w:val="24"/>
                <w:szCs w:val="24"/>
              </w:rPr>
            </w:pPr>
            <w:r w:rsidRPr="00174FFF">
              <w:rPr>
                <w:b w:val="0"/>
                <w:color w:val="000000" w:themeColor="text1"/>
                <w:sz w:val="24"/>
                <w:szCs w:val="24"/>
              </w:rPr>
              <w:t xml:space="preserve">A NVDRS File Specification sheet </w:t>
            </w:r>
            <w:r w:rsidR="00174FFF" w:rsidRPr="00174FFF">
              <w:rPr>
                <w:b w:val="0"/>
                <w:color w:val="000000" w:themeColor="text1"/>
                <w:sz w:val="24"/>
                <w:szCs w:val="24"/>
              </w:rPr>
              <w:t xml:space="preserve">that includes the most recent data year </w:t>
            </w:r>
            <w:r w:rsidRPr="00174FFF">
              <w:rPr>
                <w:b w:val="0"/>
                <w:color w:val="000000" w:themeColor="text1"/>
                <w:sz w:val="24"/>
                <w:szCs w:val="24"/>
              </w:rPr>
              <w:t xml:space="preserve">has been completed and </w:t>
            </w:r>
            <w:r w:rsidR="007F0402" w:rsidRPr="00174FFF">
              <w:rPr>
                <w:b w:val="0"/>
                <w:color w:val="000000" w:themeColor="text1"/>
                <w:sz w:val="24"/>
                <w:szCs w:val="24"/>
              </w:rPr>
              <w:t>is included in the application packet</w:t>
            </w:r>
            <w:r w:rsidRPr="00174FFF">
              <w:rPr>
                <w:b w:val="0"/>
                <w:color w:val="000000" w:themeColor="text1"/>
                <w:sz w:val="24"/>
                <w:szCs w:val="24"/>
              </w:rPr>
              <w:t>.</w:t>
            </w:r>
            <w:r w:rsidRPr="00174FFF">
              <w:rPr>
                <w:b w:val="0"/>
                <w:i/>
                <w:iCs/>
                <w:color w:val="000000" w:themeColor="text1"/>
                <w:sz w:val="24"/>
                <w:szCs w:val="24"/>
              </w:rPr>
              <w:t xml:space="preserve"> </w:t>
            </w:r>
            <w:r w:rsidR="003E13D8" w:rsidRPr="00174FFF">
              <w:rPr>
                <w:b w:val="0"/>
                <w:color w:val="000000" w:themeColor="text1"/>
                <w:sz w:val="24"/>
                <w:szCs w:val="24"/>
              </w:rPr>
              <w:t xml:space="preserve">Variables selected on the NVDRS File Specification sheet are necessary in order to answer study questions. A RAD requester who submits a NVDRS File Specification sheet that does not align with the proposal will be required to revise and resubmit an NVDRS File Specification sheet that only includes variables needed to answer study questions. </w:t>
            </w:r>
          </w:p>
          <w:p w14:paraId="328DA265" w14:textId="006E3C96" w:rsidR="00E54C00" w:rsidRPr="00174FFF" w:rsidRDefault="00E54C00" w:rsidP="00174FFF">
            <w:pPr>
              <w:ind w:left="1"/>
              <w:rPr>
                <w:b w:val="0"/>
                <w:color w:val="000000" w:themeColor="text1"/>
                <w:sz w:val="24"/>
                <w:szCs w:val="24"/>
              </w:rPr>
            </w:pPr>
          </w:p>
        </w:tc>
      </w:tr>
      <w:tr w:rsidR="004F3353" w14:paraId="3F381D11" w14:textId="77777777" w:rsidTr="475B2710">
        <w:tblPrEx>
          <w:tblCellMar>
            <w:top w:w="65" w:type="dxa"/>
            <w:right w:w="74" w:type="dxa"/>
          </w:tblCellMar>
        </w:tblPrEx>
        <w:trPr>
          <w:trHeight w:val="1008"/>
        </w:trPr>
        <w:tc>
          <w:tcPr>
            <w:tcW w:w="1800"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14:paraId="3803F94D" w14:textId="654071D2" w:rsidR="004F3353" w:rsidRPr="00174FFF" w:rsidRDefault="004F3353" w:rsidP="00E4144A">
            <w:pPr>
              <w:jc w:val="center"/>
              <w:rPr>
                <w:b w:val="0"/>
                <w:sz w:val="24"/>
                <w:szCs w:val="24"/>
              </w:rPr>
            </w:pPr>
          </w:p>
        </w:tc>
        <w:tc>
          <w:tcPr>
            <w:tcW w:w="8206" w:type="dxa"/>
            <w:tcBorders>
              <w:top w:val="single" w:sz="4" w:space="0" w:color="000000" w:themeColor="text1"/>
              <w:left w:val="single" w:sz="4" w:space="0" w:color="000000" w:themeColor="text1"/>
              <w:bottom w:val="single" w:sz="4" w:space="0" w:color="000000" w:themeColor="text1"/>
              <w:right w:val="single" w:sz="12" w:space="0" w:color="auto"/>
            </w:tcBorders>
            <w:vAlign w:val="center"/>
          </w:tcPr>
          <w:p w14:paraId="036894A3" w14:textId="77777777" w:rsidR="00E60772" w:rsidRDefault="005731E4" w:rsidP="00174FFF">
            <w:pPr>
              <w:ind w:left="1"/>
              <w:rPr>
                <w:b w:val="0"/>
                <w:color w:val="000000" w:themeColor="text1"/>
                <w:sz w:val="24"/>
                <w:szCs w:val="24"/>
              </w:rPr>
            </w:pPr>
            <w:r w:rsidRPr="00174FFF">
              <w:rPr>
                <w:b w:val="0"/>
                <w:color w:val="000000" w:themeColor="text1"/>
                <w:sz w:val="24"/>
                <w:szCs w:val="24"/>
              </w:rPr>
              <w:t>The RAD requester has included a Data Management Plan</w:t>
            </w:r>
            <w:r w:rsidR="006412A7" w:rsidRPr="00174FFF">
              <w:rPr>
                <w:b w:val="0"/>
                <w:color w:val="000000" w:themeColor="text1"/>
                <w:sz w:val="24"/>
                <w:szCs w:val="24"/>
              </w:rPr>
              <w:t>,</w:t>
            </w:r>
            <w:r w:rsidRPr="00174FFF">
              <w:rPr>
                <w:b w:val="0"/>
                <w:color w:val="000000" w:themeColor="text1"/>
                <w:sz w:val="24"/>
                <w:szCs w:val="24"/>
              </w:rPr>
              <w:t xml:space="preserve"> including a description of the mechanisms that will be in place to secure the data, preserve confidentiality, and prevent unauthorized access.</w:t>
            </w:r>
          </w:p>
          <w:p w14:paraId="0B7FC1BD" w14:textId="2E8019C0" w:rsidR="00E54C00" w:rsidRPr="00174FFF" w:rsidRDefault="00E54C00" w:rsidP="00174FFF">
            <w:pPr>
              <w:ind w:left="1"/>
              <w:rPr>
                <w:b w:val="0"/>
                <w:color w:val="000000" w:themeColor="text1"/>
                <w:sz w:val="24"/>
                <w:szCs w:val="24"/>
              </w:rPr>
            </w:pPr>
          </w:p>
        </w:tc>
      </w:tr>
      <w:tr w:rsidR="00743FE0" w14:paraId="02CE49B2" w14:textId="77777777" w:rsidTr="475B2710">
        <w:tblPrEx>
          <w:tblCellMar>
            <w:top w:w="65" w:type="dxa"/>
            <w:right w:w="74" w:type="dxa"/>
          </w:tblCellMar>
        </w:tblPrEx>
        <w:trPr>
          <w:trHeight w:val="1008"/>
        </w:trPr>
        <w:tc>
          <w:tcPr>
            <w:tcW w:w="1800" w:type="dxa"/>
            <w:tcBorders>
              <w:top w:val="single" w:sz="4" w:space="0" w:color="000000" w:themeColor="text1"/>
              <w:left w:val="single" w:sz="12" w:space="0" w:color="auto"/>
              <w:bottom w:val="single" w:sz="4" w:space="0" w:color="000000" w:themeColor="text1"/>
              <w:right w:val="single" w:sz="4" w:space="0" w:color="000000" w:themeColor="text1"/>
            </w:tcBorders>
            <w:shd w:val="clear" w:color="auto" w:fill="E7E6E6" w:themeFill="background2"/>
            <w:vAlign w:val="center"/>
          </w:tcPr>
          <w:p w14:paraId="649B915F" w14:textId="745B693E" w:rsidR="00743FE0" w:rsidRPr="00174FFF" w:rsidDel="00D3216D" w:rsidRDefault="00743FE0" w:rsidP="00E4144A">
            <w:pPr>
              <w:jc w:val="center"/>
              <w:rPr>
                <w:sz w:val="24"/>
                <w:szCs w:val="24"/>
              </w:rPr>
            </w:pPr>
          </w:p>
        </w:tc>
        <w:tc>
          <w:tcPr>
            <w:tcW w:w="8206" w:type="dxa"/>
            <w:tcBorders>
              <w:top w:val="single" w:sz="4" w:space="0" w:color="000000" w:themeColor="text1"/>
              <w:left w:val="single" w:sz="4" w:space="0" w:color="000000" w:themeColor="text1"/>
              <w:bottom w:val="single" w:sz="4" w:space="0" w:color="000000" w:themeColor="text1"/>
              <w:right w:val="single" w:sz="12" w:space="0" w:color="auto"/>
            </w:tcBorders>
            <w:shd w:val="clear" w:color="auto" w:fill="E7E6E6" w:themeFill="background2"/>
            <w:vAlign w:val="center"/>
          </w:tcPr>
          <w:p w14:paraId="47B76810" w14:textId="6D08F25C" w:rsidR="00743FE0" w:rsidRDefault="00743FE0" w:rsidP="00174FFF">
            <w:pPr>
              <w:ind w:left="1"/>
              <w:rPr>
                <w:b w:val="0"/>
                <w:color w:val="000000" w:themeColor="text1"/>
                <w:sz w:val="24"/>
                <w:szCs w:val="24"/>
              </w:rPr>
            </w:pPr>
            <w:r w:rsidRPr="00174FFF">
              <w:rPr>
                <w:b w:val="0"/>
                <w:color w:val="000000" w:themeColor="text1"/>
                <w:sz w:val="24"/>
                <w:szCs w:val="24"/>
              </w:rPr>
              <w:t xml:space="preserve">All </w:t>
            </w:r>
            <w:r w:rsidR="007A119D" w:rsidRPr="00174FFF">
              <w:rPr>
                <w:b w:val="0"/>
                <w:color w:val="000000" w:themeColor="text1"/>
                <w:sz w:val="24"/>
                <w:szCs w:val="24"/>
              </w:rPr>
              <w:t xml:space="preserve">file names in your proposal package </w:t>
            </w:r>
            <w:r w:rsidRPr="00174FFF">
              <w:rPr>
                <w:b w:val="0"/>
                <w:color w:val="000000" w:themeColor="text1"/>
                <w:sz w:val="24"/>
                <w:szCs w:val="24"/>
              </w:rPr>
              <w:t xml:space="preserve">follow the naming convention of: Principal Investigator’s last name, </w:t>
            </w:r>
            <w:r w:rsidR="008F108F" w:rsidRPr="00174FFF">
              <w:rPr>
                <w:b w:val="0"/>
                <w:color w:val="000000" w:themeColor="text1"/>
                <w:sz w:val="24"/>
                <w:szCs w:val="24"/>
              </w:rPr>
              <w:t>year of submission, name of</w:t>
            </w:r>
            <w:r w:rsidRPr="00174FFF">
              <w:rPr>
                <w:b w:val="0"/>
                <w:color w:val="000000" w:themeColor="text1"/>
                <w:sz w:val="24"/>
                <w:szCs w:val="24"/>
              </w:rPr>
              <w:t xml:space="preserve"> document (e.g., </w:t>
            </w:r>
            <w:r w:rsidRPr="00174FFF">
              <w:rPr>
                <w:b w:val="0"/>
                <w:i/>
                <w:color w:val="000000" w:themeColor="text1"/>
                <w:sz w:val="24"/>
                <w:szCs w:val="24"/>
              </w:rPr>
              <w:t>Jones_</w:t>
            </w:r>
            <w:r w:rsidR="00327D5C" w:rsidRPr="00174FFF">
              <w:rPr>
                <w:b w:val="0"/>
                <w:i/>
                <w:color w:val="000000" w:themeColor="text1"/>
                <w:sz w:val="24"/>
                <w:szCs w:val="24"/>
              </w:rPr>
              <w:t>20</w:t>
            </w:r>
            <w:r w:rsidR="00327D5C">
              <w:rPr>
                <w:b w:val="0"/>
                <w:i/>
                <w:color w:val="000000" w:themeColor="text1"/>
                <w:sz w:val="24"/>
                <w:szCs w:val="24"/>
              </w:rPr>
              <w:t>24</w:t>
            </w:r>
            <w:r w:rsidR="008F108F" w:rsidRPr="00174FFF">
              <w:rPr>
                <w:b w:val="0"/>
                <w:i/>
                <w:color w:val="000000" w:themeColor="text1"/>
                <w:sz w:val="24"/>
                <w:szCs w:val="24"/>
              </w:rPr>
              <w:t>_</w:t>
            </w:r>
            <w:r w:rsidRPr="00174FFF">
              <w:rPr>
                <w:b w:val="0"/>
                <w:i/>
                <w:color w:val="000000" w:themeColor="text1"/>
                <w:sz w:val="24"/>
                <w:szCs w:val="24"/>
              </w:rPr>
              <w:t>Data Sharing Agreement, Jones_</w:t>
            </w:r>
            <w:r w:rsidR="00327D5C" w:rsidRPr="00174FFF">
              <w:rPr>
                <w:b w:val="0"/>
                <w:i/>
                <w:color w:val="000000" w:themeColor="text1"/>
                <w:sz w:val="24"/>
                <w:szCs w:val="24"/>
              </w:rPr>
              <w:t>20</w:t>
            </w:r>
            <w:r w:rsidR="00327D5C">
              <w:rPr>
                <w:b w:val="0"/>
                <w:i/>
                <w:color w:val="000000" w:themeColor="text1"/>
                <w:sz w:val="24"/>
                <w:szCs w:val="24"/>
              </w:rPr>
              <w:t>24</w:t>
            </w:r>
            <w:r w:rsidR="008F108F" w:rsidRPr="00174FFF">
              <w:rPr>
                <w:b w:val="0"/>
                <w:i/>
                <w:color w:val="000000" w:themeColor="text1"/>
                <w:sz w:val="24"/>
                <w:szCs w:val="24"/>
              </w:rPr>
              <w:t>_</w:t>
            </w:r>
            <w:r w:rsidRPr="00174FFF">
              <w:rPr>
                <w:b w:val="0"/>
                <w:i/>
                <w:color w:val="000000" w:themeColor="text1"/>
                <w:sz w:val="24"/>
                <w:szCs w:val="24"/>
              </w:rPr>
              <w:t>Proposal</w:t>
            </w:r>
            <w:r w:rsidRPr="00174FFF">
              <w:rPr>
                <w:b w:val="0"/>
                <w:color w:val="000000" w:themeColor="text1"/>
                <w:sz w:val="24"/>
                <w:szCs w:val="24"/>
              </w:rPr>
              <w:t>).</w:t>
            </w:r>
          </w:p>
          <w:p w14:paraId="3F24D363" w14:textId="5E1ADDAF" w:rsidR="00E54C00" w:rsidRPr="00174FFF" w:rsidRDefault="00E54C00" w:rsidP="00174FFF">
            <w:pPr>
              <w:ind w:left="1"/>
              <w:rPr>
                <w:b w:val="0"/>
                <w:color w:val="000000" w:themeColor="text1"/>
                <w:sz w:val="24"/>
                <w:szCs w:val="24"/>
              </w:rPr>
            </w:pPr>
          </w:p>
        </w:tc>
      </w:tr>
      <w:tr w:rsidR="00743FE0" w14:paraId="0CAED987" w14:textId="77777777" w:rsidTr="475B2710">
        <w:tblPrEx>
          <w:tblCellMar>
            <w:top w:w="65" w:type="dxa"/>
            <w:right w:w="74" w:type="dxa"/>
          </w:tblCellMar>
        </w:tblPrEx>
        <w:trPr>
          <w:trHeight w:val="999"/>
        </w:trPr>
        <w:tc>
          <w:tcPr>
            <w:tcW w:w="1800"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14:paraId="0AA52125" w14:textId="71E15533" w:rsidR="00743FE0" w:rsidRPr="00174FFF" w:rsidDel="00D3216D" w:rsidRDefault="00743FE0" w:rsidP="00E4144A">
            <w:pPr>
              <w:jc w:val="center"/>
              <w:rPr>
                <w:sz w:val="24"/>
                <w:szCs w:val="24"/>
              </w:rPr>
            </w:pPr>
          </w:p>
        </w:tc>
        <w:tc>
          <w:tcPr>
            <w:tcW w:w="8206" w:type="dxa"/>
            <w:tcBorders>
              <w:top w:val="single" w:sz="4" w:space="0" w:color="000000" w:themeColor="text1"/>
              <w:left w:val="single" w:sz="4" w:space="0" w:color="000000" w:themeColor="text1"/>
              <w:bottom w:val="single" w:sz="4" w:space="0" w:color="000000" w:themeColor="text1"/>
              <w:right w:val="single" w:sz="12" w:space="0" w:color="auto"/>
            </w:tcBorders>
            <w:vAlign w:val="center"/>
          </w:tcPr>
          <w:p w14:paraId="5093BCE0" w14:textId="77777777" w:rsidR="00E54C00" w:rsidRDefault="00743FE0" w:rsidP="00646E57">
            <w:pPr>
              <w:ind w:left="1"/>
              <w:rPr>
                <w:b w:val="0"/>
                <w:color w:val="000000" w:themeColor="text1"/>
                <w:sz w:val="24"/>
                <w:szCs w:val="24"/>
              </w:rPr>
            </w:pPr>
            <w:r w:rsidRPr="00174FFF">
              <w:rPr>
                <w:b w:val="0"/>
                <w:color w:val="000000" w:themeColor="text1"/>
                <w:sz w:val="24"/>
                <w:szCs w:val="24"/>
              </w:rPr>
              <w:t>The subject line of the emailed submission should follow the naming convention of: Principal Investigator’s last name,</w:t>
            </w:r>
            <w:r w:rsidR="008F108F" w:rsidRPr="00174FFF">
              <w:rPr>
                <w:b w:val="0"/>
                <w:color w:val="000000" w:themeColor="text1"/>
                <w:sz w:val="24"/>
                <w:szCs w:val="24"/>
              </w:rPr>
              <w:t xml:space="preserve"> </w:t>
            </w:r>
            <w:r w:rsidR="007A119D" w:rsidRPr="00174FFF">
              <w:rPr>
                <w:b w:val="0"/>
                <w:color w:val="000000" w:themeColor="text1"/>
                <w:sz w:val="24"/>
                <w:szCs w:val="24"/>
              </w:rPr>
              <w:t xml:space="preserve">NVDRS RAD Application (e.g., </w:t>
            </w:r>
            <w:r w:rsidR="007A119D" w:rsidRPr="00174FFF">
              <w:rPr>
                <w:b w:val="0"/>
                <w:i/>
                <w:color w:val="000000" w:themeColor="text1"/>
                <w:sz w:val="24"/>
                <w:szCs w:val="24"/>
              </w:rPr>
              <w:t>Jones NVDRS RAD Application</w:t>
            </w:r>
            <w:r w:rsidR="007A119D" w:rsidRPr="00174FFF">
              <w:rPr>
                <w:b w:val="0"/>
                <w:color w:val="000000" w:themeColor="text1"/>
                <w:sz w:val="24"/>
                <w:szCs w:val="24"/>
              </w:rPr>
              <w:t>).</w:t>
            </w:r>
          </w:p>
          <w:p w14:paraId="7BF54D99" w14:textId="45674BF4" w:rsidR="00757C39" w:rsidRPr="00174FFF" w:rsidRDefault="00757C39" w:rsidP="00646E57">
            <w:pPr>
              <w:ind w:left="1"/>
              <w:rPr>
                <w:b w:val="0"/>
                <w:color w:val="000000" w:themeColor="text1"/>
                <w:sz w:val="24"/>
                <w:szCs w:val="24"/>
              </w:rPr>
            </w:pPr>
          </w:p>
        </w:tc>
      </w:tr>
      <w:tr w:rsidR="00612AE5" w:rsidRPr="001705D8" w14:paraId="2B0378A8" w14:textId="77777777" w:rsidTr="003138A5">
        <w:tblPrEx>
          <w:tblCellMar>
            <w:top w:w="65" w:type="dxa"/>
            <w:right w:w="74" w:type="dxa"/>
          </w:tblCellMar>
        </w:tblPrEx>
        <w:trPr>
          <w:trHeight w:val="291"/>
        </w:trPr>
        <w:tc>
          <w:tcPr>
            <w:tcW w:w="10006" w:type="dxa"/>
            <w:gridSpan w:val="2"/>
            <w:tcBorders>
              <w:top w:val="single" w:sz="46" w:space="0" w:color="1F487C"/>
              <w:left w:val="single" w:sz="4" w:space="0" w:color="000000" w:themeColor="text1"/>
              <w:bottom w:val="single" w:sz="46" w:space="0" w:color="1F487C"/>
              <w:right w:val="single" w:sz="12" w:space="0" w:color="auto"/>
            </w:tcBorders>
            <w:shd w:val="clear" w:color="auto" w:fill="7030A0"/>
            <w:vAlign w:val="center"/>
          </w:tcPr>
          <w:p w14:paraId="341BD692" w14:textId="2643636E" w:rsidR="00612AE5" w:rsidRPr="00174FFF" w:rsidRDefault="00612AE5" w:rsidP="00407480">
            <w:pPr>
              <w:ind w:right="75"/>
              <w:jc w:val="center"/>
              <w:rPr>
                <w:sz w:val="24"/>
                <w:szCs w:val="24"/>
              </w:rPr>
            </w:pPr>
            <w:r w:rsidRPr="00174FFF">
              <w:rPr>
                <w:rFonts w:eastAsia="Calibri"/>
                <w:color w:val="FFFFFF"/>
                <w:sz w:val="24"/>
                <w:szCs w:val="24"/>
              </w:rPr>
              <w:t>Amendment</w:t>
            </w:r>
            <w:r w:rsidR="00032FA7">
              <w:rPr>
                <w:rFonts w:eastAsia="Calibri"/>
                <w:color w:val="FFFFFF"/>
                <w:sz w:val="24"/>
                <w:szCs w:val="24"/>
              </w:rPr>
              <w:t xml:space="preserve"> Policy</w:t>
            </w:r>
          </w:p>
        </w:tc>
      </w:tr>
      <w:tr w:rsidR="00612AE5" w:rsidRPr="001705D8" w14:paraId="073C6F64" w14:textId="77777777" w:rsidTr="00757C39">
        <w:tblPrEx>
          <w:tblCellMar>
            <w:top w:w="65" w:type="dxa"/>
            <w:right w:w="74" w:type="dxa"/>
          </w:tblCellMar>
        </w:tblPrEx>
        <w:trPr>
          <w:trHeight w:val="1686"/>
        </w:trPr>
        <w:tc>
          <w:tcPr>
            <w:tcW w:w="1800" w:type="dxa"/>
            <w:tcBorders>
              <w:top w:val="single" w:sz="46" w:space="0" w:color="1F487C"/>
              <w:left w:val="single" w:sz="12" w:space="0" w:color="auto"/>
              <w:bottom w:val="single" w:sz="4" w:space="0" w:color="000000" w:themeColor="text1"/>
              <w:right w:val="single" w:sz="4" w:space="0" w:color="000000" w:themeColor="text1"/>
            </w:tcBorders>
            <w:shd w:val="clear" w:color="auto" w:fill="E7E6E6" w:themeFill="background2"/>
            <w:vAlign w:val="center"/>
          </w:tcPr>
          <w:p w14:paraId="3F3881CC" w14:textId="6C8E7219" w:rsidR="00612AE5" w:rsidRPr="00174FFF" w:rsidRDefault="00612AE5" w:rsidP="00EB4DD2">
            <w:pPr>
              <w:jc w:val="center"/>
              <w:rPr>
                <w:sz w:val="24"/>
                <w:szCs w:val="24"/>
              </w:rPr>
            </w:pPr>
          </w:p>
        </w:tc>
        <w:tc>
          <w:tcPr>
            <w:tcW w:w="8206" w:type="dxa"/>
            <w:tcBorders>
              <w:top w:val="single" w:sz="12" w:space="0" w:color="auto"/>
              <w:left w:val="single" w:sz="4" w:space="0" w:color="000000" w:themeColor="text1"/>
              <w:bottom w:val="single" w:sz="4" w:space="0" w:color="000000" w:themeColor="text1"/>
              <w:right w:val="single" w:sz="12" w:space="0" w:color="auto"/>
            </w:tcBorders>
            <w:shd w:val="clear" w:color="auto" w:fill="E7E6E6" w:themeFill="background2"/>
            <w:vAlign w:val="center"/>
          </w:tcPr>
          <w:p w14:paraId="75D854DC" w14:textId="1EFBE97F" w:rsidR="00757C39" w:rsidRPr="00757C39" w:rsidRDefault="00612AE5" w:rsidP="00EB4DD2">
            <w:pPr>
              <w:rPr>
                <w:b w:val="0"/>
                <w:color w:val="000000" w:themeColor="text1"/>
                <w:sz w:val="24"/>
                <w:szCs w:val="24"/>
              </w:rPr>
            </w:pPr>
            <w:r w:rsidRPr="00174FFF">
              <w:rPr>
                <w:b w:val="0"/>
                <w:color w:val="000000" w:themeColor="text1"/>
                <w:sz w:val="24"/>
                <w:szCs w:val="24"/>
              </w:rPr>
              <w:t xml:space="preserve">The Principal Investigator agrees to obtain appropriate written permissions from CDC for </w:t>
            </w:r>
            <w:r w:rsidR="007F0B7B" w:rsidRPr="00174FFF">
              <w:rPr>
                <w:b w:val="0"/>
                <w:color w:val="000000" w:themeColor="text1"/>
                <w:sz w:val="24"/>
                <w:szCs w:val="24"/>
              </w:rPr>
              <w:t xml:space="preserve">changes to the project that may substantially alter study questions or proposed analyses, any </w:t>
            </w:r>
            <w:r w:rsidRPr="00174FFF">
              <w:rPr>
                <w:b w:val="0"/>
                <w:color w:val="000000" w:themeColor="text1"/>
                <w:sz w:val="24"/>
                <w:szCs w:val="24"/>
              </w:rPr>
              <w:t>new investigators</w:t>
            </w:r>
            <w:r w:rsidR="00E9021D" w:rsidRPr="00174FFF">
              <w:rPr>
                <w:b w:val="0"/>
                <w:color w:val="000000" w:themeColor="text1"/>
                <w:sz w:val="24"/>
                <w:szCs w:val="24"/>
              </w:rPr>
              <w:t xml:space="preserve"> or staff who</w:t>
            </w:r>
            <w:r w:rsidRPr="00174FFF">
              <w:rPr>
                <w:b w:val="0"/>
                <w:color w:val="000000" w:themeColor="text1"/>
                <w:sz w:val="24"/>
                <w:szCs w:val="24"/>
              </w:rPr>
              <w:t xml:space="preserve"> will be added to an approved project</w:t>
            </w:r>
            <w:r w:rsidR="00E9021D" w:rsidRPr="00174FFF">
              <w:rPr>
                <w:b w:val="0"/>
                <w:color w:val="000000" w:themeColor="text1"/>
                <w:sz w:val="24"/>
                <w:szCs w:val="24"/>
              </w:rPr>
              <w:t>, or requests for updated data years or additional variables</w:t>
            </w:r>
            <w:r w:rsidRPr="00174FFF">
              <w:rPr>
                <w:b w:val="0"/>
                <w:color w:val="000000" w:themeColor="text1"/>
                <w:sz w:val="24"/>
                <w:szCs w:val="24"/>
              </w:rPr>
              <w:t xml:space="preserve">. Such written permissions should be obtained in the form of an amendment. RAD requesters can </w:t>
            </w:r>
            <w:r w:rsidRPr="00651717">
              <w:rPr>
                <w:b w:val="0"/>
                <w:color w:val="000000" w:themeColor="text1"/>
                <w:sz w:val="24"/>
                <w:szCs w:val="24"/>
              </w:rPr>
              <w:t xml:space="preserve">request </w:t>
            </w:r>
            <w:r w:rsidR="00651717" w:rsidRPr="00165CF1">
              <w:rPr>
                <w:b w:val="0"/>
                <w:sz w:val="24"/>
                <w:szCs w:val="24"/>
              </w:rPr>
              <w:t>an</w:t>
            </w:r>
            <w:r w:rsidR="00651717" w:rsidRPr="003138A5">
              <w:rPr>
                <w:b w:val="0"/>
                <w:color w:val="000000" w:themeColor="text1"/>
                <w:sz w:val="24"/>
                <w:szCs w:val="24"/>
              </w:rPr>
              <w:t xml:space="preserve"> amendment from CDC NVDRS RAD staff</w:t>
            </w:r>
            <w:r w:rsidR="00D74C07" w:rsidRPr="00651717">
              <w:rPr>
                <w:b w:val="0"/>
                <w:color w:val="000000" w:themeColor="text1"/>
                <w:sz w:val="24"/>
                <w:szCs w:val="24"/>
              </w:rPr>
              <w:t>.</w:t>
            </w:r>
          </w:p>
        </w:tc>
      </w:tr>
    </w:tbl>
    <w:p w14:paraId="66BFF1DC" w14:textId="40B19859" w:rsidR="00BC1BC0" w:rsidRDefault="00BC1BC0" w:rsidP="00757C39">
      <w:pPr>
        <w:jc w:val="both"/>
      </w:pPr>
    </w:p>
    <w:sectPr w:rsidR="00BC1BC0">
      <w:headerReference w:type="even" r:id="rId13"/>
      <w:headerReference w:type="default" r:id="rId14"/>
      <w:footerReference w:type="even" r:id="rId15"/>
      <w:footerReference w:type="default" r:id="rId16"/>
      <w:headerReference w:type="first" r:id="rId17"/>
      <w:footerReference w:type="first" r:id="rId18"/>
      <w:pgSz w:w="12240" w:h="15840"/>
      <w:pgMar w:top="996" w:right="1249" w:bottom="1051" w:left="3838"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A128" w14:textId="77777777" w:rsidR="00FF7C3F" w:rsidRDefault="00FF7C3F">
      <w:pPr>
        <w:spacing w:line="240" w:lineRule="auto"/>
      </w:pPr>
      <w:r>
        <w:separator/>
      </w:r>
    </w:p>
  </w:endnote>
  <w:endnote w:type="continuationSeparator" w:id="0">
    <w:p w14:paraId="3B68DE93" w14:textId="77777777" w:rsidR="00FF7C3F" w:rsidRDefault="00FF7C3F">
      <w:pPr>
        <w:spacing w:line="240" w:lineRule="auto"/>
      </w:pPr>
      <w:r>
        <w:continuationSeparator/>
      </w:r>
    </w:p>
  </w:endnote>
  <w:endnote w:type="continuationNotice" w:id="1">
    <w:p w14:paraId="5616B632" w14:textId="77777777" w:rsidR="00FF7C3F" w:rsidRDefault="00FF7C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893A" w14:textId="77777777" w:rsidR="00BC1BC0" w:rsidRDefault="00912C93">
    <w:pPr>
      <w:ind w:right="2594"/>
      <w:jc w:val="center"/>
    </w:pPr>
    <w:r>
      <w:rPr>
        <w:b w:val="0"/>
        <w:sz w:val="24"/>
      </w:rPr>
      <w:t xml:space="preserve">Page </w:t>
    </w:r>
    <w:r>
      <w:fldChar w:fldCharType="begin"/>
    </w:r>
    <w:r>
      <w:instrText xml:space="preserve"> PAGE   \* MERGEFORMAT </w:instrText>
    </w:r>
    <w:r>
      <w:fldChar w:fldCharType="separate"/>
    </w:r>
    <w:r>
      <w:rPr>
        <w:b w:val="0"/>
        <w:sz w:val="24"/>
      </w:rPr>
      <w:t>1</w:t>
    </w:r>
    <w:r>
      <w:rPr>
        <w:b w:val="0"/>
        <w:sz w:val="24"/>
      </w:rPr>
      <w:fldChar w:fldCharType="end"/>
    </w:r>
    <w:r>
      <w:rPr>
        <w:b w:val="0"/>
        <w:sz w:val="24"/>
      </w:rPr>
      <w:t xml:space="preserve"> of </w:t>
    </w:r>
    <w:r w:rsidR="00757C39">
      <w:fldChar w:fldCharType="begin"/>
    </w:r>
    <w:r w:rsidR="00757C39">
      <w:instrText>NUMPAGES   \* MERGEFORMAT</w:instrText>
    </w:r>
    <w:r w:rsidR="00757C39">
      <w:fldChar w:fldCharType="separate"/>
    </w:r>
    <w:r>
      <w:rPr>
        <w:b w:val="0"/>
        <w:sz w:val="24"/>
      </w:rPr>
      <w:t>3</w:t>
    </w:r>
    <w:r w:rsidR="00757C39">
      <w:rPr>
        <w:b w:val="0"/>
        <w:sz w:val="24"/>
      </w:rPr>
      <w:fldChar w:fldCharType="end"/>
    </w:r>
    <w:r>
      <w:rPr>
        <w:b w:val="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F3F9" w14:textId="77777777" w:rsidR="00BC1BC0" w:rsidRDefault="00912C93">
    <w:pPr>
      <w:ind w:right="2594"/>
      <w:jc w:val="center"/>
    </w:pPr>
    <w:r>
      <w:rPr>
        <w:b w:val="0"/>
        <w:sz w:val="24"/>
      </w:rPr>
      <w:t xml:space="preserve">Page </w:t>
    </w:r>
    <w:r>
      <w:fldChar w:fldCharType="begin"/>
    </w:r>
    <w:r>
      <w:instrText xml:space="preserve"> PAGE   \* MERGEFORMAT </w:instrText>
    </w:r>
    <w:r>
      <w:fldChar w:fldCharType="separate"/>
    </w:r>
    <w:r w:rsidRPr="00912C93">
      <w:rPr>
        <w:b w:val="0"/>
        <w:noProof/>
        <w:sz w:val="24"/>
      </w:rPr>
      <w:t>1</w:t>
    </w:r>
    <w:r>
      <w:rPr>
        <w:b w:val="0"/>
        <w:sz w:val="24"/>
      </w:rPr>
      <w:fldChar w:fldCharType="end"/>
    </w:r>
    <w:r>
      <w:rPr>
        <w:b w:val="0"/>
        <w:sz w:val="24"/>
      </w:rPr>
      <w:t xml:space="preserve"> of </w:t>
    </w:r>
    <w:r w:rsidR="00757C39">
      <w:fldChar w:fldCharType="begin"/>
    </w:r>
    <w:r w:rsidR="00757C39">
      <w:instrText>NUMPAGES   \* MERGEFORMAT</w:instrText>
    </w:r>
    <w:r w:rsidR="00757C39">
      <w:fldChar w:fldCharType="separate"/>
    </w:r>
    <w:r w:rsidRPr="00912C93">
      <w:rPr>
        <w:b w:val="0"/>
        <w:noProof/>
        <w:sz w:val="24"/>
      </w:rPr>
      <w:t>4</w:t>
    </w:r>
    <w:r w:rsidR="00757C39">
      <w:rPr>
        <w:b w:val="0"/>
        <w:noProof/>
        <w:sz w:val="24"/>
      </w:rPr>
      <w:fldChar w:fldCharType="end"/>
    </w:r>
    <w:r>
      <w:rPr>
        <w:b w:val="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8BDA" w14:textId="77777777" w:rsidR="00BC1BC0" w:rsidRDefault="00912C93">
    <w:pPr>
      <w:ind w:right="2594"/>
      <w:jc w:val="center"/>
    </w:pPr>
    <w:r>
      <w:rPr>
        <w:b w:val="0"/>
        <w:sz w:val="24"/>
      </w:rPr>
      <w:t xml:space="preserve">Page </w:t>
    </w:r>
    <w:r>
      <w:fldChar w:fldCharType="begin"/>
    </w:r>
    <w:r>
      <w:instrText xml:space="preserve"> PAGE   \* MERGEFORMAT </w:instrText>
    </w:r>
    <w:r>
      <w:fldChar w:fldCharType="separate"/>
    </w:r>
    <w:r>
      <w:rPr>
        <w:b w:val="0"/>
        <w:sz w:val="24"/>
      </w:rPr>
      <w:t>1</w:t>
    </w:r>
    <w:r>
      <w:rPr>
        <w:b w:val="0"/>
        <w:sz w:val="24"/>
      </w:rPr>
      <w:fldChar w:fldCharType="end"/>
    </w:r>
    <w:r>
      <w:rPr>
        <w:b w:val="0"/>
        <w:sz w:val="24"/>
      </w:rPr>
      <w:t xml:space="preserve"> of </w:t>
    </w:r>
    <w:r w:rsidR="00757C39">
      <w:fldChar w:fldCharType="begin"/>
    </w:r>
    <w:r w:rsidR="00757C39">
      <w:instrText>NUMPAGES   \* MERGEFORMAT</w:instrText>
    </w:r>
    <w:r w:rsidR="00757C39">
      <w:fldChar w:fldCharType="separate"/>
    </w:r>
    <w:r>
      <w:rPr>
        <w:b w:val="0"/>
        <w:sz w:val="24"/>
      </w:rPr>
      <w:t>3</w:t>
    </w:r>
    <w:r w:rsidR="00757C39">
      <w:rPr>
        <w:b w:val="0"/>
        <w:sz w:val="24"/>
      </w:rPr>
      <w:fldChar w:fldCharType="end"/>
    </w:r>
    <w:r>
      <w:rPr>
        <w:b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5B4A" w14:textId="77777777" w:rsidR="00FF7C3F" w:rsidRDefault="00FF7C3F">
      <w:pPr>
        <w:spacing w:line="240" w:lineRule="auto"/>
      </w:pPr>
      <w:r>
        <w:separator/>
      </w:r>
    </w:p>
  </w:footnote>
  <w:footnote w:type="continuationSeparator" w:id="0">
    <w:p w14:paraId="78C949EC" w14:textId="77777777" w:rsidR="00FF7C3F" w:rsidRDefault="00FF7C3F">
      <w:pPr>
        <w:spacing w:line="240" w:lineRule="auto"/>
      </w:pPr>
      <w:r>
        <w:continuationSeparator/>
      </w:r>
    </w:p>
  </w:footnote>
  <w:footnote w:type="continuationNotice" w:id="1">
    <w:p w14:paraId="1237DAA9" w14:textId="77777777" w:rsidR="00FF7C3F" w:rsidRDefault="00FF7C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D5B9" w14:textId="77777777" w:rsidR="00E87EF6" w:rsidRDefault="00E87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AFFC" w14:textId="77777777" w:rsidR="00E87EF6" w:rsidRDefault="00E87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9E4E" w14:textId="77777777" w:rsidR="00E87EF6" w:rsidRDefault="00E87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D1C82"/>
    <w:multiLevelType w:val="hybridMultilevel"/>
    <w:tmpl w:val="E88E5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73910"/>
    <w:multiLevelType w:val="multilevel"/>
    <w:tmpl w:val="EB280B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544B15"/>
    <w:multiLevelType w:val="hybridMultilevel"/>
    <w:tmpl w:val="766A412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A36388D"/>
    <w:multiLevelType w:val="hybridMultilevel"/>
    <w:tmpl w:val="3E941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25725685">
    <w:abstractNumId w:val="1"/>
  </w:num>
  <w:num w:numId="2" w16cid:durableId="1359896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9829100">
    <w:abstractNumId w:val="2"/>
  </w:num>
  <w:num w:numId="4" w16cid:durableId="2104256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BC0"/>
    <w:rsid w:val="00000C88"/>
    <w:rsid w:val="000027FF"/>
    <w:rsid w:val="0000648C"/>
    <w:rsid w:val="00032FA7"/>
    <w:rsid w:val="0003474C"/>
    <w:rsid w:val="00042034"/>
    <w:rsid w:val="000C7CD5"/>
    <w:rsid w:val="000E60AE"/>
    <w:rsid w:val="000F6723"/>
    <w:rsid w:val="0010290B"/>
    <w:rsid w:val="001179BE"/>
    <w:rsid w:val="001221FB"/>
    <w:rsid w:val="00165CF1"/>
    <w:rsid w:val="001705D8"/>
    <w:rsid w:val="00172FA4"/>
    <w:rsid w:val="00174FFF"/>
    <w:rsid w:val="00185EA8"/>
    <w:rsid w:val="001922E4"/>
    <w:rsid w:val="0019561D"/>
    <w:rsid w:val="001E2657"/>
    <w:rsid w:val="001F62D7"/>
    <w:rsid w:val="00204DFD"/>
    <w:rsid w:val="00256EF6"/>
    <w:rsid w:val="00282E32"/>
    <w:rsid w:val="00291C24"/>
    <w:rsid w:val="002B4B8B"/>
    <w:rsid w:val="002D3470"/>
    <w:rsid w:val="002F4E06"/>
    <w:rsid w:val="002F61BC"/>
    <w:rsid w:val="0030418E"/>
    <w:rsid w:val="003138A5"/>
    <w:rsid w:val="00324D21"/>
    <w:rsid w:val="00327D5C"/>
    <w:rsid w:val="00362F59"/>
    <w:rsid w:val="00371A0C"/>
    <w:rsid w:val="00383D1C"/>
    <w:rsid w:val="003C4EA7"/>
    <w:rsid w:val="003D3ACF"/>
    <w:rsid w:val="003D4F1C"/>
    <w:rsid w:val="003E13D8"/>
    <w:rsid w:val="003E52EC"/>
    <w:rsid w:val="00401532"/>
    <w:rsid w:val="00425230"/>
    <w:rsid w:val="004262D1"/>
    <w:rsid w:val="00453658"/>
    <w:rsid w:val="00461D01"/>
    <w:rsid w:val="004D7FAA"/>
    <w:rsid w:val="004F3353"/>
    <w:rsid w:val="004F534D"/>
    <w:rsid w:val="00500AAB"/>
    <w:rsid w:val="005428C0"/>
    <w:rsid w:val="00547FF3"/>
    <w:rsid w:val="0055482C"/>
    <w:rsid w:val="0056347C"/>
    <w:rsid w:val="005731E4"/>
    <w:rsid w:val="005867A5"/>
    <w:rsid w:val="005C4420"/>
    <w:rsid w:val="005E448D"/>
    <w:rsid w:val="005E5528"/>
    <w:rsid w:val="00612AE5"/>
    <w:rsid w:val="006271E6"/>
    <w:rsid w:val="006412A7"/>
    <w:rsid w:val="00646E57"/>
    <w:rsid w:val="00651717"/>
    <w:rsid w:val="00666148"/>
    <w:rsid w:val="0069136A"/>
    <w:rsid w:val="006B26F3"/>
    <w:rsid w:val="006F56F3"/>
    <w:rsid w:val="00743FE0"/>
    <w:rsid w:val="00753F1F"/>
    <w:rsid w:val="00757C39"/>
    <w:rsid w:val="007824E1"/>
    <w:rsid w:val="007A119D"/>
    <w:rsid w:val="007B470E"/>
    <w:rsid w:val="007B6697"/>
    <w:rsid w:val="007E2C9B"/>
    <w:rsid w:val="007F0402"/>
    <w:rsid w:val="007F0B7B"/>
    <w:rsid w:val="00827B30"/>
    <w:rsid w:val="0084022D"/>
    <w:rsid w:val="008553C1"/>
    <w:rsid w:val="008A61E2"/>
    <w:rsid w:val="008A6337"/>
    <w:rsid w:val="008C40FF"/>
    <w:rsid w:val="008E2AEE"/>
    <w:rsid w:val="008F108F"/>
    <w:rsid w:val="009044B3"/>
    <w:rsid w:val="00911847"/>
    <w:rsid w:val="00912C93"/>
    <w:rsid w:val="00915F03"/>
    <w:rsid w:val="009206CD"/>
    <w:rsid w:val="009316C5"/>
    <w:rsid w:val="00933BA7"/>
    <w:rsid w:val="00953303"/>
    <w:rsid w:val="0095354B"/>
    <w:rsid w:val="00961159"/>
    <w:rsid w:val="0096153A"/>
    <w:rsid w:val="00973381"/>
    <w:rsid w:val="00977C5C"/>
    <w:rsid w:val="0098740A"/>
    <w:rsid w:val="009C5E5F"/>
    <w:rsid w:val="009F0AC9"/>
    <w:rsid w:val="00A62C6A"/>
    <w:rsid w:val="00A90C98"/>
    <w:rsid w:val="00B10D85"/>
    <w:rsid w:val="00B33C9A"/>
    <w:rsid w:val="00B43C20"/>
    <w:rsid w:val="00B82358"/>
    <w:rsid w:val="00B845AC"/>
    <w:rsid w:val="00BC1BC0"/>
    <w:rsid w:val="00C63C9A"/>
    <w:rsid w:val="00C74162"/>
    <w:rsid w:val="00CC3539"/>
    <w:rsid w:val="00CF2804"/>
    <w:rsid w:val="00D23BC0"/>
    <w:rsid w:val="00D24200"/>
    <w:rsid w:val="00D3216D"/>
    <w:rsid w:val="00D40FB8"/>
    <w:rsid w:val="00D64530"/>
    <w:rsid w:val="00D74C07"/>
    <w:rsid w:val="00DE4EA9"/>
    <w:rsid w:val="00E4144A"/>
    <w:rsid w:val="00E44E63"/>
    <w:rsid w:val="00E54C00"/>
    <w:rsid w:val="00E60772"/>
    <w:rsid w:val="00E616AA"/>
    <w:rsid w:val="00E87EF6"/>
    <w:rsid w:val="00E9021D"/>
    <w:rsid w:val="00EB4DD2"/>
    <w:rsid w:val="00EC5FC7"/>
    <w:rsid w:val="00ED4D5D"/>
    <w:rsid w:val="00F20331"/>
    <w:rsid w:val="00F73A14"/>
    <w:rsid w:val="00FB61F1"/>
    <w:rsid w:val="00FC3957"/>
    <w:rsid w:val="00FF7C3F"/>
    <w:rsid w:val="0E226B56"/>
    <w:rsid w:val="147BF21F"/>
    <w:rsid w:val="17699DA6"/>
    <w:rsid w:val="20EA7E8A"/>
    <w:rsid w:val="26DAB241"/>
    <w:rsid w:val="2E3189C9"/>
    <w:rsid w:val="34381642"/>
    <w:rsid w:val="39B42C4B"/>
    <w:rsid w:val="41285A0E"/>
    <w:rsid w:val="41946E88"/>
    <w:rsid w:val="475B2710"/>
    <w:rsid w:val="4E1FBBF4"/>
    <w:rsid w:val="56877DCD"/>
    <w:rsid w:val="58229277"/>
    <w:rsid w:val="58DB7510"/>
    <w:rsid w:val="5C787140"/>
    <w:rsid w:val="60A167A2"/>
    <w:rsid w:val="6358850A"/>
    <w:rsid w:val="68395F4F"/>
    <w:rsid w:val="68C832CA"/>
    <w:rsid w:val="6E7037D2"/>
    <w:rsid w:val="75AEA358"/>
    <w:rsid w:val="7832BABC"/>
    <w:rsid w:val="7CAC81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11107"/>
  <w15:docId w15:val="{6415A7D6-AD24-4FF1-8663-ACB34EEF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203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331"/>
    <w:rPr>
      <w:rFonts w:ascii="Segoe UI" w:eastAsia="Times New Roman" w:hAnsi="Segoe UI" w:cs="Segoe UI"/>
      <w:b/>
      <w:color w:val="000000"/>
      <w:sz w:val="18"/>
      <w:szCs w:val="18"/>
    </w:rPr>
  </w:style>
  <w:style w:type="character" w:styleId="Hyperlink">
    <w:name w:val="Hyperlink"/>
    <w:basedOn w:val="DefaultParagraphFont"/>
    <w:uiPriority w:val="99"/>
    <w:unhideWhenUsed/>
    <w:rsid w:val="00324D21"/>
    <w:rPr>
      <w:color w:val="0563C1" w:themeColor="hyperlink"/>
      <w:u w:val="single"/>
    </w:rPr>
  </w:style>
  <w:style w:type="character" w:styleId="UnresolvedMention">
    <w:name w:val="Unresolved Mention"/>
    <w:basedOn w:val="DefaultParagraphFont"/>
    <w:uiPriority w:val="99"/>
    <w:semiHidden/>
    <w:unhideWhenUsed/>
    <w:rsid w:val="00324D21"/>
    <w:rPr>
      <w:color w:val="605E5C"/>
      <w:shd w:val="clear" w:color="auto" w:fill="E1DFDD"/>
    </w:rPr>
  </w:style>
  <w:style w:type="paragraph" w:customStyle="1" w:styleId="Default">
    <w:name w:val="Default"/>
    <w:rsid w:val="00A90C9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221FB"/>
    <w:pPr>
      <w:spacing w:line="240" w:lineRule="auto"/>
      <w:ind w:left="720"/>
    </w:pPr>
    <w:rPr>
      <w:rFonts w:ascii="Calibri" w:eastAsiaTheme="minorHAnsi" w:hAnsi="Calibri"/>
      <w:b w:val="0"/>
      <w:color w:val="auto"/>
      <w:sz w:val="22"/>
    </w:rPr>
  </w:style>
  <w:style w:type="character" w:styleId="FollowedHyperlink">
    <w:name w:val="FollowedHyperlink"/>
    <w:basedOn w:val="DefaultParagraphFont"/>
    <w:uiPriority w:val="99"/>
    <w:semiHidden/>
    <w:unhideWhenUsed/>
    <w:rsid w:val="005C4420"/>
    <w:rPr>
      <w:color w:val="954F72" w:themeColor="followedHyperlink"/>
      <w:u w:val="single"/>
    </w:rPr>
  </w:style>
  <w:style w:type="paragraph" w:styleId="BodyTextIndent2">
    <w:name w:val="Body Text Indent 2"/>
    <w:basedOn w:val="Normal"/>
    <w:link w:val="BodyTextIndent2Char"/>
    <w:rsid w:val="001705D8"/>
    <w:pPr>
      <w:spacing w:after="120" w:line="480" w:lineRule="auto"/>
      <w:ind w:left="360"/>
    </w:pPr>
    <w:rPr>
      <w:b w:val="0"/>
      <w:color w:val="auto"/>
      <w:sz w:val="24"/>
      <w:szCs w:val="24"/>
    </w:rPr>
  </w:style>
  <w:style w:type="character" w:customStyle="1" w:styleId="BodyTextIndent2Char">
    <w:name w:val="Body Text Indent 2 Char"/>
    <w:basedOn w:val="DefaultParagraphFont"/>
    <w:link w:val="BodyTextIndent2"/>
    <w:rsid w:val="001705D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3216D"/>
    <w:rPr>
      <w:sz w:val="16"/>
      <w:szCs w:val="16"/>
    </w:rPr>
  </w:style>
  <w:style w:type="paragraph" w:styleId="CommentText">
    <w:name w:val="annotation text"/>
    <w:basedOn w:val="Normal"/>
    <w:link w:val="CommentTextChar"/>
    <w:uiPriority w:val="99"/>
    <w:unhideWhenUsed/>
    <w:rsid w:val="00D3216D"/>
    <w:pPr>
      <w:spacing w:line="240" w:lineRule="auto"/>
    </w:pPr>
    <w:rPr>
      <w:sz w:val="20"/>
      <w:szCs w:val="20"/>
    </w:rPr>
  </w:style>
  <w:style w:type="character" w:customStyle="1" w:styleId="CommentTextChar">
    <w:name w:val="Comment Text Char"/>
    <w:basedOn w:val="DefaultParagraphFont"/>
    <w:link w:val="CommentText"/>
    <w:uiPriority w:val="99"/>
    <w:rsid w:val="00D3216D"/>
    <w:rPr>
      <w:rFonts w:ascii="Times New Roman" w:eastAsia="Times New Roman" w:hAnsi="Times New Roman" w:cs="Times New Roman"/>
      <w:b/>
      <w:color w:val="000000"/>
      <w:sz w:val="20"/>
      <w:szCs w:val="20"/>
    </w:rPr>
  </w:style>
  <w:style w:type="paragraph" w:styleId="CommentSubject">
    <w:name w:val="annotation subject"/>
    <w:basedOn w:val="CommentText"/>
    <w:next w:val="CommentText"/>
    <w:link w:val="CommentSubjectChar"/>
    <w:uiPriority w:val="99"/>
    <w:semiHidden/>
    <w:unhideWhenUsed/>
    <w:rsid w:val="00D3216D"/>
    <w:rPr>
      <w:bCs/>
    </w:rPr>
  </w:style>
  <w:style w:type="character" w:customStyle="1" w:styleId="CommentSubjectChar">
    <w:name w:val="Comment Subject Char"/>
    <w:basedOn w:val="CommentTextChar"/>
    <w:link w:val="CommentSubject"/>
    <w:uiPriority w:val="99"/>
    <w:semiHidden/>
    <w:rsid w:val="00D3216D"/>
    <w:rPr>
      <w:rFonts w:ascii="Times New Roman" w:eastAsia="Times New Roman" w:hAnsi="Times New Roman" w:cs="Times New Roman"/>
      <w:b/>
      <w:bCs/>
      <w:color w:val="000000"/>
      <w:sz w:val="20"/>
      <w:szCs w:val="20"/>
    </w:rPr>
  </w:style>
  <w:style w:type="paragraph" w:styleId="Revision">
    <w:name w:val="Revision"/>
    <w:hidden/>
    <w:uiPriority w:val="99"/>
    <w:semiHidden/>
    <w:rsid w:val="00D3216D"/>
    <w:pPr>
      <w:spacing w:after="0" w:line="240" w:lineRule="auto"/>
    </w:pPr>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E87EF6"/>
    <w:pPr>
      <w:tabs>
        <w:tab w:val="center" w:pos="4680"/>
        <w:tab w:val="right" w:pos="9360"/>
      </w:tabs>
      <w:spacing w:line="240" w:lineRule="auto"/>
    </w:pPr>
  </w:style>
  <w:style w:type="character" w:customStyle="1" w:styleId="HeaderChar">
    <w:name w:val="Header Char"/>
    <w:basedOn w:val="DefaultParagraphFont"/>
    <w:link w:val="Header"/>
    <w:uiPriority w:val="99"/>
    <w:rsid w:val="00E87EF6"/>
    <w:rPr>
      <w:rFonts w:ascii="Times New Roman" w:eastAsia="Times New Roman" w:hAnsi="Times New Roman" w:cs="Times New Roman"/>
      <w:b/>
      <w:color w:val="000000"/>
      <w:sz w:val="28"/>
    </w:rPr>
  </w:style>
  <w:style w:type="paragraph" w:styleId="Footer">
    <w:name w:val="footer"/>
    <w:basedOn w:val="Normal"/>
    <w:link w:val="FooterChar"/>
    <w:uiPriority w:val="99"/>
    <w:semiHidden/>
    <w:unhideWhenUsed/>
    <w:rsid w:val="00185EA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85EA8"/>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0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nvdrs/about/nvdrs-data-access.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dc.gov/nvdrs/about/nvdrs-data-access.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ec3096-8e48-42a2-a7cb-1884fe7ea10d">
      <UserInfo>
        <DisplayName/>
        <AccountId xsi:nil="true"/>
        <AccountType/>
      </UserInfo>
    </SharedWithUsers>
    <TaxCatchAll xmlns="2cec3096-8e48-42a2-a7cb-1884fe7ea10d" xsi:nil="true"/>
    <lcf76f155ced4ddcb4097134ff3c332f xmlns="842928f8-bfb3-4cb9-ab18-36f1e0e8ec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72BCAF576064FB18021F02640D202" ma:contentTypeVersion="12" ma:contentTypeDescription="Create a new document." ma:contentTypeScope="" ma:versionID="62c1c61acb90a3b462f5dcef68b3980d">
  <xsd:schema xmlns:xsd="http://www.w3.org/2001/XMLSchema" xmlns:xs="http://www.w3.org/2001/XMLSchema" xmlns:p="http://schemas.microsoft.com/office/2006/metadata/properties" xmlns:ns2="842928f8-bfb3-4cb9-ab18-36f1e0e8ec8f" xmlns:ns3="2cec3096-8e48-42a2-a7cb-1884fe7ea10d" targetNamespace="http://schemas.microsoft.com/office/2006/metadata/properties" ma:root="true" ma:fieldsID="165fddb4bb9f14c3c65354de2fe53ea8" ns2:_="" ns3:_="">
    <xsd:import namespace="842928f8-bfb3-4cb9-ab18-36f1e0e8ec8f"/>
    <xsd:import namespace="2cec3096-8e48-42a2-a7cb-1884fe7ea1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928f8-bfb3-4cb9-ab18-36f1e0e8e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ec3096-8e48-42a2-a7cb-1884fe7ea1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ad84d6-0d74-4b19-a69b-24caa08089d3}" ma:internalName="TaxCatchAll" ma:showField="CatchAllData" ma:web="2cec3096-8e48-42a2-a7cb-1884fe7ea1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D3EB9-72FA-44B8-8308-8443A6F84DC8}">
  <ds:schemaRefs>
    <ds:schemaRef ds:uri="http://schemas.microsoft.com/office/infopath/2007/PartnerControls"/>
    <ds:schemaRef ds:uri="http://www.w3.org/XML/1998/namespace"/>
    <ds:schemaRef ds:uri="http://purl.org/dc/terms/"/>
    <ds:schemaRef ds:uri="http://schemas.microsoft.com/office/2006/documentManagement/types"/>
    <ds:schemaRef ds:uri="http://schemas.microsoft.com/office/2006/metadata/properties"/>
    <ds:schemaRef ds:uri="2cec3096-8e48-42a2-a7cb-1884fe7ea10d"/>
    <ds:schemaRef ds:uri="http://purl.org/dc/elements/1.1/"/>
    <ds:schemaRef ds:uri="http://schemas.openxmlformats.org/package/2006/metadata/core-properties"/>
    <ds:schemaRef ds:uri="842928f8-bfb3-4cb9-ab18-36f1e0e8ec8f"/>
    <ds:schemaRef ds:uri="http://purl.org/dc/dcmitype/"/>
  </ds:schemaRefs>
</ds:datastoreItem>
</file>

<file path=customXml/itemProps2.xml><?xml version="1.0" encoding="utf-8"?>
<ds:datastoreItem xmlns:ds="http://schemas.openxmlformats.org/officeDocument/2006/customXml" ds:itemID="{E0C71FC1-68B9-4B33-A93B-E98F24F04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928f8-bfb3-4cb9-ab18-36f1e0e8ec8f"/>
    <ds:schemaRef ds:uri="2cec3096-8e48-42a2-a7cb-1884fe7ea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C4797-DC98-4792-B2C7-3AA2069A1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1109</Words>
  <Characters>6324</Characters>
  <Application>Microsoft Office Word</Application>
  <DocSecurity>0</DocSecurity>
  <Lines>52</Lines>
  <Paragraphs>14</Paragraphs>
  <ScaleCrop>false</ScaleCrop>
  <Company>Centers for Disease Control and Prevention</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MMWR Author Checklist</dc:title>
  <dc:subject/>
  <dc:creator>Rebecca Wilson</dc:creator>
  <cp:keywords/>
  <cp:lastModifiedBy>Forsberg, Kaitlin (CDC/NCIPC/DVP)</cp:lastModifiedBy>
  <cp:revision>31</cp:revision>
  <dcterms:created xsi:type="dcterms:W3CDTF">2023-09-08T19:35:00Z</dcterms:created>
  <dcterms:modified xsi:type="dcterms:W3CDTF">2024-09-05T16:43:00Z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480986894</vt:i4>
  </property>
  <property fmtid="{D5CDD505-2E9C-101B-9397-08002B2CF9AE}" pid="3" name="MSIP_Label_7b94a7b8-f06c-4dfe-bdcc-9b548fd58c31_Enabled">
    <vt:lpwstr>True</vt:lpwstr>
  </property>
  <property fmtid="{D5CDD505-2E9C-101B-9397-08002B2CF9AE}" pid="4" name="MSIP_Label_7b94a7b8-f06c-4dfe-bdcc-9b548fd58c31_SiteId">
    <vt:lpwstr>9ce70869-60db-44fd-abe8-d2767077fc8f</vt:lpwstr>
  </property>
  <property fmtid="{D5CDD505-2E9C-101B-9397-08002B2CF9AE}" pid="5" name="MSIP_Label_7b94a7b8-f06c-4dfe-bdcc-9b548fd58c31_Owner">
    <vt:lpwstr>gdo4@cdc.gov</vt:lpwstr>
  </property>
  <property fmtid="{D5CDD505-2E9C-101B-9397-08002B2CF9AE}" pid="6" name="MSIP_Label_7b94a7b8-f06c-4dfe-bdcc-9b548fd58c31_SetDate">
    <vt:lpwstr>2020-06-11T14:48:08.4001851Z</vt:lpwstr>
  </property>
  <property fmtid="{D5CDD505-2E9C-101B-9397-08002B2CF9AE}" pid="7" name="MSIP_Label_7b94a7b8-f06c-4dfe-bdcc-9b548fd58c31_Name">
    <vt:lpwstr>General</vt:lpwstr>
  </property>
  <property fmtid="{D5CDD505-2E9C-101B-9397-08002B2CF9AE}" pid="8" name="MSIP_Label_7b94a7b8-f06c-4dfe-bdcc-9b548fd58c31_Application">
    <vt:lpwstr>Microsoft Azure Information Protection</vt:lpwstr>
  </property>
  <property fmtid="{D5CDD505-2E9C-101B-9397-08002B2CF9AE}" pid="9" name="MSIP_Label_7b94a7b8-f06c-4dfe-bdcc-9b548fd58c31_ActionId">
    <vt:lpwstr>92bfa781-07c2-41ed-88b1-ce206feace8a</vt:lpwstr>
  </property>
  <property fmtid="{D5CDD505-2E9C-101B-9397-08002B2CF9AE}" pid="10" name="MSIP_Label_7b94a7b8-f06c-4dfe-bdcc-9b548fd58c31_Extended_MSFT_Method">
    <vt:lpwstr>Manual</vt:lpwstr>
  </property>
  <property fmtid="{D5CDD505-2E9C-101B-9397-08002B2CF9AE}" pid="11" name="Sensitivity">
    <vt:lpwstr>General</vt:lpwstr>
  </property>
  <property fmtid="{D5CDD505-2E9C-101B-9397-08002B2CF9AE}" pid="12" name="ContentTypeId">
    <vt:lpwstr>0x0101003F072BCAF576064FB18021F02640D202</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